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4F" w:rsidRDefault="00E01748" w:rsidP="00CC356B">
      <w:pPr>
        <w:tabs>
          <w:tab w:val="left" w:pos="6083"/>
        </w:tabs>
        <w:bidi/>
        <w:ind w:left="3402"/>
      </w:pPr>
      <w:r w:rsidRPr="00E01748">
        <w:rPr>
          <w:rFonts w:cs="Arial"/>
          <w:noProof/>
          <w:lang w:eastAsia="fr-FR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-69.4pt;margin-top:-14.05pt;width:180pt;height:89.65pt;rotation:-360;z-index:251659264;mso-position-horizontal-relative:margin;mso-position-vertical-relative:margin;mso-width-relative:margin;mso-height-relative:margin" o:allowincell="f" adj="1739" fillcolor="#943634" strokecolor="white" strokeweight="3pt">
            <v:imagedata embosscolor="shadow add(51)"/>
            <v:shadow type="emboss" color="lineOrFill darken(153)" color2="shadow add(102)" offset="1pt,1pt"/>
            <v:textbox style="mso-next-textbox:#_x0000_s1030" inset="3.6pt,,3.6pt">
              <w:txbxContent>
                <w:p w:rsidR="00AD5422" w:rsidRPr="00370125" w:rsidRDefault="00AD5422" w:rsidP="00AD5422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70125">
                    <w:rPr>
                      <w:b/>
                      <w:bCs/>
                      <w:sz w:val="20"/>
                      <w:szCs w:val="20"/>
                    </w:rPr>
                    <w:t xml:space="preserve">Royaume du Maroc </w:t>
                  </w:r>
                </w:p>
                <w:p w:rsidR="00AD5422" w:rsidRPr="00370125" w:rsidRDefault="00AD5422" w:rsidP="00AD5422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70125">
                    <w:rPr>
                      <w:b/>
                      <w:bCs/>
                      <w:sz w:val="20"/>
                      <w:szCs w:val="20"/>
                    </w:rPr>
                    <w:t>*****</w:t>
                  </w:r>
                </w:p>
                <w:p w:rsidR="00AD5422" w:rsidRPr="00370125" w:rsidRDefault="00AD5422" w:rsidP="00AD5422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70125">
                    <w:rPr>
                      <w:b/>
                      <w:bCs/>
                      <w:sz w:val="20"/>
                      <w:szCs w:val="20"/>
                    </w:rPr>
                    <w:t xml:space="preserve">Ministère de l’Emploi </w:t>
                  </w:r>
                </w:p>
                <w:p w:rsidR="00AD5422" w:rsidRPr="00370125" w:rsidRDefault="00AD5422" w:rsidP="00AD5422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370125">
                    <w:rPr>
                      <w:b/>
                      <w:bCs/>
                      <w:sz w:val="20"/>
                      <w:szCs w:val="20"/>
                    </w:rPr>
                    <w:t>et</w:t>
                  </w:r>
                  <w:proofErr w:type="gramEnd"/>
                  <w:r w:rsidRPr="00370125">
                    <w:rPr>
                      <w:b/>
                      <w:bCs/>
                      <w:sz w:val="20"/>
                      <w:szCs w:val="20"/>
                    </w:rPr>
                    <w:t xml:space="preserve"> de la Formation Professionnelle</w:t>
                  </w:r>
                </w:p>
                <w:p w:rsidR="00AD5422" w:rsidRPr="00370125" w:rsidRDefault="00AD5422" w:rsidP="00AD5422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rPr>
                      <w:b/>
                      <w:bCs/>
                      <w:rtl/>
                    </w:rPr>
                  </w:pPr>
                </w:p>
                <w:p w:rsidR="00AD5422" w:rsidRPr="00370125" w:rsidRDefault="00AD5422" w:rsidP="00AD5422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jc w:val="center"/>
                    <w:rPr>
                      <w:b/>
                      <w:bCs/>
                    </w:rPr>
                  </w:pPr>
                </w:p>
                <w:p w:rsidR="00AD5422" w:rsidRPr="00370125" w:rsidRDefault="00AD5422" w:rsidP="00AD5422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jc w:val="center"/>
                    <w:rPr>
                      <w:rtl/>
                    </w:rPr>
                  </w:pPr>
                </w:p>
                <w:p w:rsidR="00AD5422" w:rsidRPr="00370125" w:rsidRDefault="00AD5422" w:rsidP="00AD5422"/>
              </w:txbxContent>
            </v:textbox>
            <w10:wrap type="square" anchorx="margin" anchory="margin"/>
          </v:shape>
        </w:pict>
      </w:r>
      <w:r w:rsidRPr="00E01748">
        <w:rPr>
          <w:rFonts w:cs="Arial"/>
          <w:noProof/>
          <w:lang w:eastAsia="fr-FR"/>
        </w:rPr>
        <w:pict>
          <v:shape id="_x0000_s1026" type="#_x0000_t185" style="position:absolute;left:0;text-align:left;margin-left:350.4pt;margin-top:-8.3pt;width:183.1pt;height:93.95pt;rotation:-360;z-index:251658240;mso-position-horizontal-relative:margin;mso-position-vertical-relative:margin;mso-width-relative:margin;mso-height-relative:margin" o:allowincell="f" adj="1739" fillcolor="#943634" strokecolor="white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F215E9" w:rsidRPr="000A0D5D" w:rsidRDefault="00F215E9" w:rsidP="00F215E9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spacing w:after="0" w:line="240" w:lineRule="auto"/>
                    <w:jc w:val="center"/>
                    <w:rPr>
                      <w:rFonts w:cs="Arabic Transparent"/>
                      <w:b/>
                      <w:bCs/>
                      <w:sz w:val="20"/>
                      <w:szCs w:val="20"/>
                      <w:lang w:bidi="ar-MA"/>
                    </w:rPr>
                  </w:pPr>
                  <w:proofErr w:type="gramStart"/>
                  <w:r w:rsidRPr="000A0D5D">
                    <w:rPr>
                      <w:rFonts w:cs="Arabic Transparent" w:hint="eastAsia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المملكة</w:t>
                  </w:r>
                  <w:proofErr w:type="gramEnd"/>
                  <w:r w:rsidRPr="000A0D5D">
                    <w:rPr>
                      <w:rFonts w:cs="Arabic Transparent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0A0D5D">
                    <w:rPr>
                      <w:rFonts w:cs="Arabic Transparent" w:hint="eastAsia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المغربية</w:t>
                  </w:r>
                  <w:r w:rsidRPr="000A0D5D">
                    <w:rPr>
                      <w:rFonts w:cs="Arabic Transparent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</w:p>
                <w:p w:rsidR="00F215E9" w:rsidRPr="000A0D5D" w:rsidRDefault="00F215E9" w:rsidP="00F215E9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A0D5D">
                    <w:rPr>
                      <w:b/>
                      <w:bCs/>
                      <w:sz w:val="20"/>
                      <w:szCs w:val="20"/>
                    </w:rPr>
                    <w:t>*****</w:t>
                  </w:r>
                </w:p>
                <w:p w:rsidR="00F215E9" w:rsidRPr="000A0D5D" w:rsidRDefault="00F215E9" w:rsidP="00F215E9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spacing w:after="0" w:line="240" w:lineRule="auto"/>
                    <w:jc w:val="center"/>
                    <w:rPr>
                      <w:rFonts w:cs="Arabic Transparent"/>
                      <w:b/>
                      <w:bCs/>
                      <w:sz w:val="20"/>
                      <w:szCs w:val="20"/>
                      <w:lang w:bidi="ar-MA"/>
                    </w:rPr>
                  </w:pPr>
                  <w:proofErr w:type="gramStart"/>
                  <w:r w:rsidRPr="000A0D5D">
                    <w:rPr>
                      <w:rFonts w:cs="Arabic Transparent" w:hint="eastAsia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وزارة</w:t>
                  </w:r>
                  <w:proofErr w:type="gramEnd"/>
                  <w:r w:rsidRPr="000A0D5D">
                    <w:rPr>
                      <w:rFonts w:cs="Arabic Transparent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0A0D5D">
                    <w:rPr>
                      <w:rFonts w:cs="Arabic Transparent" w:hint="eastAsia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التشغيل</w:t>
                  </w:r>
                  <w:r w:rsidRPr="000A0D5D">
                    <w:rPr>
                      <w:rFonts w:cs="Arabic Transparent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0A0D5D">
                    <w:rPr>
                      <w:rFonts w:cs="Arabic Transparent" w:hint="eastAsia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والتكوين</w:t>
                  </w:r>
                  <w:r w:rsidRPr="000A0D5D">
                    <w:rPr>
                      <w:rFonts w:cs="Arabic Transparent"/>
                      <w:b/>
                      <w:bCs/>
                      <w:sz w:val="20"/>
                      <w:szCs w:val="20"/>
                      <w:rtl/>
                      <w:lang w:bidi="ar-MA"/>
                    </w:rPr>
                    <w:t xml:space="preserve"> </w:t>
                  </w:r>
                  <w:r w:rsidRPr="000A0D5D">
                    <w:rPr>
                      <w:rFonts w:cs="Arabic Transparent" w:hint="eastAsia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المهني</w:t>
                  </w:r>
                </w:p>
                <w:p w:rsidR="00F215E9" w:rsidRPr="000A0D5D" w:rsidRDefault="00F215E9" w:rsidP="00F215E9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spacing w:after="0" w:line="240" w:lineRule="auto"/>
                    <w:jc w:val="center"/>
                    <w:rPr>
                      <w:rFonts w:cs="Arabic Transparent"/>
                      <w:b/>
                      <w:bCs/>
                      <w:sz w:val="20"/>
                      <w:szCs w:val="20"/>
                      <w:lang w:bidi="ar-MA"/>
                    </w:rPr>
                  </w:pPr>
                </w:p>
                <w:p w:rsidR="00F215E9" w:rsidRPr="000A0D5D" w:rsidRDefault="00F215E9" w:rsidP="00F215E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361B2D" w:rsidRPr="00361B2D">
        <w:rPr>
          <w:rFonts w:cs="Arial"/>
          <w:noProof/>
          <w:rtl/>
          <w:lang w:eastAsia="fr-FR"/>
        </w:rPr>
        <w:drawing>
          <wp:inline distT="0" distB="0" distL="0" distR="0">
            <wp:extent cx="1456823" cy="930442"/>
            <wp:effectExtent l="19050" t="0" r="0" b="0"/>
            <wp:docPr id="4" name="Image 1" descr="ta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taj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1" cy="93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56B">
        <w:rPr>
          <w:rtl/>
        </w:rPr>
        <w:tab/>
      </w:r>
    </w:p>
    <w:p w:rsidR="00020D4F" w:rsidRPr="00020D4F" w:rsidRDefault="00020D4F" w:rsidP="00020D4F">
      <w:pPr>
        <w:bidi/>
      </w:pPr>
    </w:p>
    <w:p w:rsidR="00020D4F" w:rsidRDefault="00020D4F" w:rsidP="00020D4F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E01748" w:rsidP="00876DE8">
      <w:pPr>
        <w:bidi/>
      </w:pPr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left:0;text-align:left;margin-left:17.8pt;margin-top:21.7pt;width:416.2pt;height:247.7pt;z-index:251660288" strokecolor="#e36c0a [2409]" strokeweight="3pt">
            <v:fill color2="#fbd4b4 [1305]" rotate="t" focus="-50%" type="gradient"/>
            <v:shadow on="t" opacity=".5" offset="6pt,-6pt"/>
            <o:extrusion v:ext="view" backdepth="1in" type="perspective"/>
            <v:textbox style="mso-next-textbox:#_x0000_s1032">
              <w:txbxContent>
                <w:p w:rsidR="00876DE8" w:rsidRDefault="00876DE8" w:rsidP="00876DE8">
                  <w:pPr>
                    <w:bidi/>
                    <w:rPr>
                      <w:rFonts w:ascii="Calibri" w:eastAsia="Times New Roman" w:hAnsi="Calibri" w:cs="Arabic Transparent"/>
                      <w:color w:val="7030A0"/>
                      <w:sz w:val="52"/>
                      <w:szCs w:val="52"/>
                      <w:rtl/>
                      <w:lang w:eastAsia="fr-FR" w:bidi="ar-MA"/>
                    </w:rPr>
                  </w:pPr>
                </w:p>
                <w:p w:rsidR="00D10CF2" w:rsidRPr="00D10CF2" w:rsidRDefault="00876DE8" w:rsidP="00876DE8">
                  <w:pPr>
                    <w:bidi/>
                    <w:jc w:val="center"/>
                    <w:rPr>
                      <w:rFonts w:ascii="Calibri" w:eastAsia="Times New Roman" w:hAnsi="Calibri" w:cs="Arabic Transparent"/>
                      <w:b/>
                      <w:bCs/>
                      <w:sz w:val="72"/>
                      <w:szCs w:val="72"/>
                      <w:lang w:eastAsia="fr-FR" w:bidi="ar-MA"/>
                    </w:rPr>
                  </w:pPr>
                  <w:r w:rsidRPr="00D10CF2">
                    <w:rPr>
                      <w:rFonts w:ascii="Calibri" w:eastAsia="Times New Roman" w:hAnsi="Calibri" w:cs="Arabic Transparent"/>
                      <w:b/>
                      <w:bCs/>
                      <w:color w:val="632423" w:themeColor="accent2" w:themeShade="80"/>
                      <w:sz w:val="72"/>
                      <w:szCs w:val="72"/>
                      <w:lang w:eastAsia="fr-FR" w:bidi="ar-MA"/>
                    </w:rPr>
                    <w:t>Bilan social</w:t>
                  </w:r>
                  <w:r w:rsidRPr="00D10CF2">
                    <w:rPr>
                      <w:rFonts w:ascii="Calibri" w:eastAsia="Times New Roman" w:hAnsi="Calibri" w:cs="Arabic Transparent"/>
                      <w:b/>
                      <w:bCs/>
                      <w:sz w:val="72"/>
                      <w:szCs w:val="72"/>
                      <w:lang w:eastAsia="fr-FR" w:bidi="ar-MA"/>
                    </w:rPr>
                    <w:t xml:space="preserve"> </w:t>
                  </w:r>
                </w:p>
                <w:p w:rsidR="00876DE8" w:rsidRPr="00D10CF2" w:rsidRDefault="00876DE8" w:rsidP="00D10CF2">
                  <w:pPr>
                    <w:bidi/>
                    <w:jc w:val="center"/>
                    <w:rPr>
                      <w:rFonts w:ascii="Calibri" w:eastAsia="Times New Roman" w:hAnsi="Calibri" w:cs="Arabic Transparent"/>
                      <w:sz w:val="56"/>
                      <w:szCs w:val="56"/>
                      <w:rtl/>
                      <w:lang w:eastAsia="fr-FR" w:bidi="ar-MA"/>
                    </w:rPr>
                  </w:pPr>
                  <w:proofErr w:type="gramStart"/>
                  <w:r w:rsidRPr="00D10CF2">
                    <w:rPr>
                      <w:rFonts w:ascii="Calibri" w:eastAsia="Times New Roman" w:hAnsi="Calibri" w:cs="Arabic Transparent"/>
                      <w:color w:val="632423" w:themeColor="accent2" w:themeShade="80"/>
                      <w:sz w:val="52"/>
                      <w:szCs w:val="52"/>
                      <w:lang w:eastAsia="fr-FR" w:bidi="ar-MA"/>
                    </w:rPr>
                    <w:t>des</w:t>
                  </w:r>
                  <w:proofErr w:type="gramEnd"/>
                  <w:r w:rsidR="00D10CF2" w:rsidRPr="00D10CF2">
                    <w:rPr>
                      <w:rFonts w:ascii="Calibri" w:eastAsia="Times New Roman" w:hAnsi="Calibri" w:cs="Arabic Transparent"/>
                      <w:color w:val="632423" w:themeColor="accent2" w:themeShade="80"/>
                      <w:sz w:val="52"/>
                      <w:szCs w:val="52"/>
                      <w:lang w:eastAsia="fr-FR" w:bidi="ar-MA"/>
                    </w:rPr>
                    <w:t xml:space="preserve"> fonctionnaires du </w:t>
                  </w:r>
                  <w:r w:rsidRPr="00D10CF2">
                    <w:rPr>
                      <w:rFonts w:ascii="Calibri" w:eastAsia="Times New Roman" w:hAnsi="Calibri" w:cs="Arabic Transparent"/>
                      <w:color w:val="632423" w:themeColor="accent2" w:themeShade="80"/>
                      <w:sz w:val="52"/>
                      <w:szCs w:val="52"/>
                      <w:lang w:eastAsia="fr-FR" w:bidi="ar-MA"/>
                    </w:rPr>
                    <w:t xml:space="preserve">Département de L’emploi </w:t>
                  </w:r>
                  <w:r w:rsidRPr="00D10CF2">
                    <w:rPr>
                      <w:rFonts w:ascii="Calibri" w:eastAsia="Times New Roman" w:hAnsi="Calibri" w:cs="Arabic Transparent"/>
                      <w:color w:val="632423" w:themeColor="accent2" w:themeShade="80"/>
                      <w:sz w:val="56"/>
                      <w:szCs w:val="56"/>
                      <w:lang w:eastAsia="fr-FR" w:bidi="ar-MA"/>
                    </w:rPr>
                    <w:t xml:space="preserve"> </w:t>
                  </w:r>
                </w:p>
              </w:txbxContent>
            </v:textbox>
          </v:shape>
        </w:pict>
      </w: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876DE8" w:rsidRDefault="00876DE8" w:rsidP="00876DE8">
      <w:pPr>
        <w:bidi/>
      </w:pPr>
    </w:p>
    <w:p w:rsidR="000E7A61" w:rsidRPr="000E7A61" w:rsidRDefault="000E7A61" w:rsidP="00BF68E3">
      <w:pPr>
        <w:shd w:val="clear" w:color="auto" w:fill="F2DBDB" w:themeFill="accent2" w:themeFillTint="33"/>
        <w:tabs>
          <w:tab w:val="center" w:pos="7016"/>
          <w:tab w:val="left" w:pos="10572"/>
        </w:tabs>
        <w:ind w:left="-1417" w:right="-1417"/>
        <w:jc w:val="center"/>
        <w:rPr>
          <w:b/>
          <w:bCs/>
          <w:color w:val="632423" w:themeColor="accent2" w:themeShade="80"/>
          <w:sz w:val="48"/>
          <w:szCs w:val="48"/>
          <w:rtl/>
          <w:lang w:bidi="ar-MA"/>
        </w:rPr>
      </w:pPr>
      <w:r w:rsidRPr="000E7A61">
        <w:rPr>
          <w:b/>
          <w:bCs/>
          <w:color w:val="632423" w:themeColor="accent2" w:themeShade="80"/>
          <w:sz w:val="48"/>
          <w:szCs w:val="48"/>
          <w:lang w:bidi="ar-MA"/>
        </w:rPr>
        <w:lastRenderedPageBreak/>
        <w:t>Indicateurs relatifs au volet ressources humaines</w:t>
      </w:r>
    </w:p>
    <w:p w:rsidR="00490EF5" w:rsidRPr="00CD3F0A" w:rsidRDefault="00490EF5" w:rsidP="00641606">
      <w:pPr>
        <w:shd w:val="clear" w:color="auto" w:fill="365F91" w:themeFill="accent1" w:themeFillShade="BF"/>
        <w:spacing w:line="240" w:lineRule="auto"/>
        <w:ind w:left="-993" w:right="-993"/>
        <w:rPr>
          <w:b/>
          <w:color w:val="FFFFFF" w:themeColor="background1"/>
          <w:sz w:val="18"/>
          <w:szCs w:val="18"/>
        </w:rPr>
      </w:pPr>
      <w:r w:rsidRPr="00CD3F0A">
        <w:rPr>
          <w:b/>
          <w:color w:val="FFFFFF" w:themeColor="background1"/>
          <w:sz w:val="18"/>
          <w:szCs w:val="18"/>
        </w:rPr>
        <w:t xml:space="preserve">L’effectif  total du ministère de l’emploi et de la formation professionnelle – Département de l’emploi-  </w:t>
      </w:r>
      <w:r w:rsidR="00036AF6">
        <w:rPr>
          <w:b/>
          <w:color w:val="FFFFFF" w:themeColor="background1"/>
          <w:sz w:val="18"/>
          <w:szCs w:val="18"/>
        </w:rPr>
        <w:t>s’élève à</w:t>
      </w:r>
      <w:r w:rsidRPr="00CD3F0A">
        <w:rPr>
          <w:b/>
          <w:color w:val="FFFFFF" w:themeColor="background1"/>
          <w:sz w:val="18"/>
          <w:szCs w:val="18"/>
        </w:rPr>
        <w:t xml:space="preserve">  1194 répartis comme suite</w:t>
      </w:r>
      <w:r w:rsidR="00641606">
        <w:rPr>
          <w:b/>
          <w:color w:val="FFFFFF" w:themeColor="background1"/>
          <w:sz w:val="18"/>
          <w:szCs w:val="18"/>
        </w:rPr>
        <w:t xml:space="preserve"> </w:t>
      </w:r>
      <w:r w:rsidRPr="00CD3F0A">
        <w:rPr>
          <w:b/>
          <w:color w:val="FFFFFF" w:themeColor="background1"/>
          <w:sz w:val="18"/>
          <w:szCs w:val="18"/>
        </w:rPr>
        <w:t>:</w:t>
      </w:r>
    </w:p>
    <w:tbl>
      <w:tblPr>
        <w:tblStyle w:val="Grillemoyenne1-Accent1"/>
        <w:tblpPr w:leftFromText="141" w:rightFromText="141" w:vertAnchor="text" w:horzAnchor="margin" w:tblpXSpec="center" w:tblpY="152"/>
        <w:bidiVisual/>
        <w:tblW w:w="6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73"/>
        <w:gridCol w:w="753"/>
        <w:gridCol w:w="4820"/>
      </w:tblGrid>
      <w:tr w:rsidR="00B17776" w:rsidTr="00CD3F0A">
        <w:trPr>
          <w:cnfStyle w:val="100000000000"/>
          <w:trHeight w:val="1842"/>
        </w:trPr>
        <w:tc>
          <w:tcPr>
            <w:cnfStyle w:val="001000000000"/>
            <w:tcW w:w="6326" w:type="dxa"/>
            <w:gridSpan w:val="2"/>
            <w:shd w:val="clear" w:color="auto" w:fill="DAEEF3" w:themeFill="accent5" w:themeFillTint="33"/>
          </w:tcPr>
          <w:p w:rsidR="00454A9D" w:rsidRDefault="00454A9D" w:rsidP="00C849FE">
            <w:pPr>
              <w:ind w:left="34"/>
              <w:jc w:val="both"/>
              <w:rPr>
                <w:bCs w:val="0"/>
                <w:sz w:val="18"/>
                <w:szCs w:val="18"/>
              </w:rPr>
            </w:pPr>
          </w:p>
          <w:p w:rsidR="00C849FE" w:rsidRPr="00C849FE" w:rsidRDefault="00C849FE" w:rsidP="00F70DCC">
            <w:pPr>
              <w:ind w:left="34"/>
              <w:jc w:val="both"/>
              <w:rPr>
                <w:bCs w:val="0"/>
                <w:sz w:val="18"/>
                <w:szCs w:val="18"/>
              </w:rPr>
            </w:pPr>
            <w:r w:rsidRPr="00C849FE">
              <w:rPr>
                <w:bCs w:val="0"/>
                <w:sz w:val="18"/>
                <w:szCs w:val="18"/>
              </w:rPr>
              <w:t>Les fonctionnaires relevant des services extérieurs représentent 68% de l’effectif global du département de l’emploi contre 32% pour les services centraux.</w:t>
            </w:r>
          </w:p>
          <w:p w:rsidR="00B17776" w:rsidRPr="003B24FA" w:rsidRDefault="00C849FE" w:rsidP="00641606">
            <w:pPr>
              <w:pStyle w:val="Paragraphedeliste"/>
              <w:numPr>
                <w:ilvl w:val="0"/>
                <w:numId w:val="5"/>
              </w:numPr>
              <w:spacing w:after="240"/>
              <w:jc w:val="both"/>
              <w:rPr>
                <w:rFonts w:ascii="Calibri" w:eastAsia="Times New Roman" w:hAnsi="Calibri" w:cs="Arabic Transparent"/>
                <w:sz w:val="24"/>
                <w:szCs w:val="24"/>
                <w:rtl/>
                <w:lang w:bidi="ar-MA"/>
              </w:rPr>
            </w:pPr>
            <w:r w:rsidRPr="00C849FE">
              <w:rPr>
                <w:bCs w:val="0"/>
                <w:sz w:val="18"/>
                <w:szCs w:val="18"/>
              </w:rPr>
              <w:t xml:space="preserve">L’effectif </w:t>
            </w:r>
            <w:r w:rsidR="00641606">
              <w:rPr>
                <w:bCs w:val="0"/>
                <w:sz w:val="18"/>
                <w:szCs w:val="18"/>
              </w:rPr>
              <w:t>relevant des</w:t>
            </w:r>
            <w:r w:rsidRPr="00C849FE">
              <w:rPr>
                <w:bCs w:val="0"/>
                <w:sz w:val="18"/>
                <w:szCs w:val="18"/>
              </w:rPr>
              <w:t xml:space="preserve"> services extérieurs</w:t>
            </w:r>
            <w:r w:rsidR="00641606">
              <w:rPr>
                <w:bCs w:val="0"/>
                <w:sz w:val="18"/>
                <w:szCs w:val="18"/>
              </w:rPr>
              <w:t xml:space="preserve"> « SE »</w:t>
            </w:r>
            <w:r w:rsidRPr="00C849FE">
              <w:rPr>
                <w:bCs w:val="0"/>
                <w:sz w:val="18"/>
                <w:szCs w:val="18"/>
              </w:rPr>
              <w:t xml:space="preserve"> reste supérieur à l’effectif relevant des </w:t>
            </w:r>
            <w:r w:rsidR="00641606">
              <w:rPr>
                <w:bCs w:val="0"/>
                <w:sz w:val="18"/>
                <w:szCs w:val="18"/>
              </w:rPr>
              <w:t xml:space="preserve"> « SE » des </w:t>
            </w:r>
            <w:r w:rsidRPr="00C849FE">
              <w:rPr>
                <w:bCs w:val="0"/>
                <w:sz w:val="18"/>
                <w:szCs w:val="18"/>
              </w:rPr>
              <w:t xml:space="preserve">autres départements ministériels. </w:t>
            </w:r>
            <w:r w:rsidR="00641606">
              <w:rPr>
                <w:bCs w:val="0"/>
                <w:sz w:val="18"/>
                <w:szCs w:val="18"/>
              </w:rPr>
              <w:t xml:space="preserve">Alors que </w:t>
            </w:r>
            <w:r w:rsidR="00641606" w:rsidRPr="00C849FE">
              <w:rPr>
                <w:bCs w:val="0"/>
                <w:sz w:val="18"/>
                <w:szCs w:val="18"/>
              </w:rPr>
              <w:t xml:space="preserve">le pourcentage des fonctionnaires des </w:t>
            </w:r>
            <w:r w:rsidR="00641606">
              <w:rPr>
                <w:bCs w:val="0"/>
                <w:sz w:val="18"/>
                <w:szCs w:val="18"/>
              </w:rPr>
              <w:t>SE ne dépasse pas les 20% (</w:t>
            </w:r>
            <w:r w:rsidRPr="00C849FE">
              <w:rPr>
                <w:bCs w:val="0"/>
                <w:sz w:val="18"/>
                <w:szCs w:val="18"/>
              </w:rPr>
              <w:t>Selon les statistiques de la fonction publiques</w:t>
            </w:r>
            <w:r w:rsidR="00641606">
              <w:rPr>
                <w:bCs w:val="0"/>
                <w:sz w:val="18"/>
                <w:szCs w:val="18"/>
              </w:rPr>
              <w:t>).</w:t>
            </w:r>
            <w:r w:rsidRPr="00C849FE"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216A2D" w:rsidRPr="00AF326A" w:rsidRDefault="00216A2D" w:rsidP="00216A2D">
            <w:pPr>
              <w:pStyle w:val="Paragraphedeliste"/>
              <w:numPr>
                <w:ilvl w:val="0"/>
                <w:numId w:val="1"/>
              </w:numPr>
              <w:tabs>
                <w:tab w:val="left" w:pos="1725"/>
              </w:tabs>
              <w:spacing w:before="0"/>
              <w:cnfStyle w:val="100000000000"/>
              <w:rPr>
                <w:bCs w:val="0"/>
                <w:color w:val="0000FF"/>
                <w:u w:val="single"/>
              </w:rPr>
            </w:pPr>
            <w:r w:rsidRPr="00AF326A">
              <w:rPr>
                <w:bCs w:val="0"/>
                <w:color w:val="0000FF"/>
                <w:u w:val="single"/>
              </w:rPr>
              <w:t>Analyse des effectifs par services :</w:t>
            </w:r>
          </w:p>
          <w:p w:rsidR="007A711E" w:rsidRPr="00216A2D" w:rsidRDefault="007A711E" w:rsidP="007A711E">
            <w:pPr>
              <w:pStyle w:val="Paragraphedeliste"/>
              <w:tabs>
                <w:tab w:val="left" w:pos="1725"/>
              </w:tabs>
              <w:spacing w:before="0"/>
              <w:ind w:left="360"/>
              <w:cnfStyle w:val="100000000000"/>
              <w:rPr>
                <w:bCs w:val="0"/>
                <w:u w:val="single"/>
              </w:rPr>
            </w:pPr>
          </w:p>
          <w:p w:rsidR="00B17776" w:rsidRPr="003623F6" w:rsidRDefault="00ED5415" w:rsidP="00B17776">
            <w:pPr>
              <w:pStyle w:val="Paragraphedeliste"/>
              <w:spacing w:line="336" w:lineRule="auto"/>
              <w:ind w:left="0"/>
              <w:cnfStyle w:val="100000000000"/>
              <w:rPr>
                <w:rFonts w:ascii="Calibri" w:eastAsia="Times New Roman" w:hAnsi="Calibri" w:cs="Arabic Transparent"/>
                <w:b w:val="0"/>
                <w:bCs w:val="0"/>
                <w:sz w:val="20"/>
                <w:szCs w:val="20"/>
                <w:rtl/>
                <w:lang w:bidi="ar-MA"/>
              </w:rPr>
            </w:pPr>
            <w:r w:rsidRPr="00ED5415">
              <w:rPr>
                <w:rFonts w:ascii="Calibri" w:eastAsia="Times New Roman" w:hAnsi="Calibri" w:cs="Arabic Transparent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676949" cy="824089"/>
                  <wp:effectExtent l="19050" t="0" r="28151" b="0"/>
                  <wp:docPr id="6" name="Graphique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B17776" w:rsidTr="009538D4">
        <w:trPr>
          <w:cnfStyle w:val="000000100000"/>
          <w:trHeight w:val="2028"/>
        </w:trPr>
        <w:tc>
          <w:tcPr>
            <w:cnfStyle w:val="001000000000"/>
            <w:tcW w:w="6326" w:type="dxa"/>
            <w:gridSpan w:val="2"/>
            <w:shd w:val="clear" w:color="auto" w:fill="DBE5F1" w:themeFill="accent1" w:themeFillTint="33"/>
          </w:tcPr>
          <w:p w:rsidR="009602FD" w:rsidRPr="009602FD" w:rsidRDefault="009602FD" w:rsidP="009602FD">
            <w:pPr>
              <w:jc w:val="both"/>
              <w:rPr>
                <w:sz w:val="18"/>
                <w:szCs w:val="18"/>
              </w:rPr>
            </w:pPr>
          </w:p>
          <w:p w:rsidR="009602FD" w:rsidRPr="009602FD" w:rsidRDefault="009602FD" w:rsidP="00CD3F0A">
            <w:pPr>
              <w:pStyle w:val="Paragraphedeliste"/>
              <w:numPr>
                <w:ilvl w:val="0"/>
                <w:numId w:val="5"/>
              </w:numPr>
              <w:spacing w:after="240"/>
              <w:jc w:val="both"/>
              <w:rPr>
                <w:bCs w:val="0"/>
                <w:sz w:val="18"/>
                <w:szCs w:val="18"/>
              </w:rPr>
            </w:pPr>
            <w:r w:rsidRPr="009602FD">
              <w:rPr>
                <w:bCs w:val="0"/>
                <w:sz w:val="18"/>
                <w:szCs w:val="18"/>
              </w:rPr>
              <w:t xml:space="preserve">Les femmes </w:t>
            </w:r>
            <w:r w:rsidR="00641606">
              <w:rPr>
                <w:bCs w:val="0"/>
                <w:sz w:val="18"/>
                <w:szCs w:val="18"/>
              </w:rPr>
              <w:t>représentent</w:t>
            </w:r>
            <w:r w:rsidRPr="009602FD">
              <w:rPr>
                <w:bCs w:val="0"/>
                <w:sz w:val="18"/>
                <w:szCs w:val="18"/>
              </w:rPr>
              <w:t xml:space="preserve"> 39% du total des fonctionnaires sachant que le taux de féminisation au sein de la fonction publique est de 36%.</w:t>
            </w:r>
          </w:p>
          <w:p w:rsidR="00B17776" w:rsidRPr="00C51BCA" w:rsidRDefault="009602FD" w:rsidP="00641606">
            <w:pPr>
              <w:pStyle w:val="Paragraphedeliste"/>
              <w:numPr>
                <w:ilvl w:val="0"/>
                <w:numId w:val="5"/>
              </w:numPr>
              <w:spacing w:after="240"/>
              <w:jc w:val="both"/>
              <w:rPr>
                <w:rFonts w:ascii="Calibri" w:eastAsia="Times New Roman" w:hAnsi="Calibri" w:cs="Arabic Transparent"/>
                <w:b w:val="0"/>
                <w:bCs w:val="0"/>
                <w:sz w:val="28"/>
                <w:szCs w:val="28"/>
                <w:rtl/>
              </w:rPr>
            </w:pPr>
            <w:r w:rsidRPr="009602FD">
              <w:rPr>
                <w:bCs w:val="0"/>
                <w:sz w:val="18"/>
                <w:szCs w:val="18"/>
              </w:rPr>
              <w:t xml:space="preserve">Ces dernières années, le nombre de femmes fonctionnaires dans le département de l’emploi a augmenté </w:t>
            </w:r>
            <w:r w:rsidR="00641606">
              <w:rPr>
                <w:bCs w:val="0"/>
                <w:sz w:val="18"/>
                <w:szCs w:val="18"/>
              </w:rPr>
              <w:t>grâce</w:t>
            </w:r>
            <w:r w:rsidRPr="009602FD">
              <w:rPr>
                <w:bCs w:val="0"/>
                <w:sz w:val="18"/>
                <w:szCs w:val="18"/>
              </w:rPr>
              <w:t xml:space="preserve"> au recrutement d’ </w:t>
            </w:r>
            <w:r w:rsidR="00641606">
              <w:rPr>
                <w:bCs w:val="0"/>
                <w:sz w:val="18"/>
                <w:szCs w:val="18"/>
              </w:rPr>
              <w:t xml:space="preserve"> inspectrices de travail et de</w:t>
            </w:r>
            <w:r w:rsidR="00641606" w:rsidRPr="009602FD">
              <w:rPr>
                <w:bCs w:val="0"/>
                <w:sz w:val="18"/>
                <w:szCs w:val="18"/>
              </w:rPr>
              <w:t xml:space="preserve"> femmes </w:t>
            </w:r>
            <w:r w:rsidRPr="009602FD">
              <w:rPr>
                <w:bCs w:val="0"/>
                <w:sz w:val="18"/>
                <w:szCs w:val="18"/>
              </w:rPr>
              <w:t>médecins chargées de l’inspection d</w:t>
            </w:r>
            <w:r w:rsidR="00641606">
              <w:rPr>
                <w:bCs w:val="0"/>
                <w:sz w:val="18"/>
                <w:szCs w:val="18"/>
              </w:rPr>
              <w:t>u</w:t>
            </w:r>
            <w:r w:rsidRPr="009602FD">
              <w:rPr>
                <w:bCs w:val="0"/>
                <w:sz w:val="18"/>
                <w:szCs w:val="18"/>
              </w:rPr>
              <w:t xml:space="preserve"> travail.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8115D0" w:rsidRPr="00AF326A" w:rsidRDefault="008115D0" w:rsidP="008115D0">
            <w:pPr>
              <w:pStyle w:val="Paragraphedeliste"/>
              <w:numPr>
                <w:ilvl w:val="0"/>
                <w:numId w:val="1"/>
              </w:numPr>
              <w:tabs>
                <w:tab w:val="left" w:pos="1725"/>
              </w:tabs>
              <w:spacing w:before="0"/>
              <w:cnfStyle w:val="000000100000"/>
              <w:rPr>
                <w:b/>
                <w:color w:val="0000FF"/>
                <w:u w:val="single"/>
              </w:rPr>
            </w:pPr>
            <w:r w:rsidRPr="00AF326A">
              <w:rPr>
                <w:b/>
                <w:color w:val="0000FF"/>
                <w:u w:val="single"/>
              </w:rPr>
              <w:t>Analyse des effectifs par sexe :</w:t>
            </w:r>
          </w:p>
          <w:p w:rsidR="009C400C" w:rsidRDefault="009C400C" w:rsidP="009C400C">
            <w:pPr>
              <w:pStyle w:val="Paragraphedeliste"/>
              <w:tabs>
                <w:tab w:val="left" w:pos="1725"/>
              </w:tabs>
              <w:spacing w:before="0"/>
              <w:ind w:left="360"/>
              <w:cnfStyle w:val="000000100000"/>
              <w:rPr>
                <w:b/>
                <w:u w:val="single"/>
              </w:rPr>
            </w:pPr>
          </w:p>
          <w:p w:rsidR="00B17776" w:rsidRPr="003623F6" w:rsidRDefault="009C400C" w:rsidP="00CD1366">
            <w:pPr>
              <w:pStyle w:val="Paragraphedeliste"/>
              <w:spacing w:after="240" w:line="336" w:lineRule="auto"/>
              <w:ind w:left="0"/>
              <w:cnfStyle w:val="000000100000"/>
              <w:rPr>
                <w:rFonts w:ascii="Calibri" w:eastAsia="Times New Roman" w:hAnsi="Calibri" w:cs="Arabic Transparent"/>
                <w:b/>
                <w:bCs/>
                <w:sz w:val="20"/>
                <w:szCs w:val="20"/>
                <w:rtl/>
              </w:rPr>
            </w:pPr>
            <w:r w:rsidRPr="009C400C">
              <w:rPr>
                <w:rFonts w:ascii="Calibri" w:eastAsia="Times New Roman" w:hAnsi="Calibri" w:cs="Arabic Transparent"/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678219" cy="824089"/>
                  <wp:effectExtent l="19050" t="0" r="26881" b="0"/>
                  <wp:docPr id="7" name="Graphique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7840CF" w:rsidTr="00C20B05">
        <w:trPr>
          <w:trHeight w:val="1255"/>
        </w:trPr>
        <w:tc>
          <w:tcPr>
            <w:cnfStyle w:val="001000000000"/>
            <w:tcW w:w="5573" w:type="dxa"/>
            <w:shd w:val="clear" w:color="auto" w:fill="DAEEF3" w:themeFill="accent5" w:themeFillTint="33"/>
          </w:tcPr>
          <w:p w:rsidR="007840CF" w:rsidRDefault="007840CF" w:rsidP="007840CF">
            <w:pPr>
              <w:jc w:val="both"/>
              <w:rPr>
                <w:sz w:val="20"/>
                <w:szCs w:val="20"/>
              </w:rPr>
            </w:pPr>
          </w:p>
          <w:p w:rsidR="007840CF" w:rsidRDefault="007840CF" w:rsidP="00FB4FB4">
            <w:pPr>
              <w:jc w:val="both"/>
              <w:rPr>
                <w:sz w:val="20"/>
                <w:szCs w:val="20"/>
              </w:rPr>
            </w:pPr>
            <w:r w:rsidRPr="00E8491B">
              <w:rPr>
                <w:sz w:val="20"/>
                <w:szCs w:val="20"/>
              </w:rPr>
              <w:t xml:space="preserve">Ces dernières années, un grand nombre de fonctionnaires </w:t>
            </w:r>
            <w:r>
              <w:rPr>
                <w:sz w:val="20"/>
                <w:szCs w:val="20"/>
              </w:rPr>
              <w:t>sont mis à la</w:t>
            </w:r>
            <w:r w:rsidRPr="00E8491B">
              <w:rPr>
                <w:sz w:val="20"/>
                <w:szCs w:val="20"/>
              </w:rPr>
              <w:t xml:space="preserve"> retraite</w:t>
            </w:r>
            <w:r>
              <w:rPr>
                <w:sz w:val="20"/>
                <w:szCs w:val="20"/>
              </w:rPr>
              <w:t>, ce</w:t>
            </w:r>
            <w:r w:rsidR="00641606">
              <w:rPr>
                <w:sz w:val="20"/>
                <w:szCs w:val="20"/>
              </w:rPr>
              <w:t xml:space="preserve"> qui</w:t>
            </w:r>
            <w:r>
              <w:rPr>
                <w:sz w:val="20"/>
                <w:szCs w:val="20"/>
              </w:rPr>
              <w:t xml:space="preserve"> </w:t>
            </w:r>
            <w:r w:rsidR="00641606">
              <w:rPr>
                <w:sz w:val="20"/>
                <w:szCs w:val="20"/>
              </w:rPr>
              <w:t xml:space="preserve">doit être </w:t>
            </w:r>
            <w:r w:rsidR="00FB4FB4">
              <w:rPr>
                <w:sz w:val="20"/>
                <w:szCs w:val="20"/>
              </w:rPr>
              <w:t>compensé</w:t>
            </w:r>
            <w:r>
              <w:rPr>
                <w:sz w:val="20"/>
                <w:szCs w:val="20"/>
              </w:rPr>
              <w:t xml:space="preserve"> </w:t>
            </w:r>
            <w:r w:rsidR="00FB4FB4">
              <w:rPr>
                <w:sz w:val="20"/>
                <w:szCs w:val="20"/>
              </w:rPr>
              <w:t>par un recrutement de</w:t>
            </w:r>
            <w:r>
              <w:rPr>
                <w:sz w:val="20"/>
                <w:szCs w:val="20"/>
              </w:rPr>
              <w:t xml:space="preserve"> nouveaux cadres notamment des inspecteurs de travail.</w:t>
            </w:r>
          </w:p>
          <w:p w:rsidR="000E7D8B" w:rsidRDefault="000E7D8B" w:rsidP="00FB4FB4">
            <w:pPr>
              <w:jc w:val="both"/>
              <w:rPr>
                <w:sz w:val="20"/>
                <w:szCs w:val="20"/>
              </w:rPr>
            </w:pPr>
          </w:p>
          <w:p w:rsidR="00641606" w:rsidRDefault="00641606" w:rsidP="00641606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Tramemoyenne1-Accent11"/>
              <w:tblpPr w:leftFromText="141" w:rightFromText="141" w:vertAnchor="text" w:horzAnchor="margin" w:tblpXSpec="center" w:tblpY="-235"/>
              <w:tblOverlap w:val="never"/>
              <w:tblW w:w="0" w:type="auto"/>
              <w:tblBorders>
                <w:top w:val="single" w:sz="4" w:space="0" w:color="1F497D" w:themeColor="text2"/>
                <w:left w:val="single" w:sz="4" w:space="0" w:color="1F497D" w:themeColor="text2"/>
                <w:bottom w:val="single" w:sz="4" w:space="0" w:color="1F497D" w:themeColor="text2"/>
                <w:right w:val="single" w:sz="4" w:space="0" w:color="1F497D" w:themeColor="text2"/>
                <w:insideH w:val="single" w:sz="4" w:space="0" w:color="1F497D" w:themeColor="text2"/>
                <w:insideV w:val="single" w:sz="4" w:space="0" w:color="1F497D" w:themeColor="text2"/>
              </w:tblBorders>
              <w:tblLayout w:type="fixed"/>
              <w:tblLook w:val="04A0"/>
            </w:tblPr>
            <w:tblGrid>
              <w:gridCol w:w="1240"/>
              <w:gridCol w:w="1241"/>
              <w:gridCol w:w="1241"/>
            </w:tblGrid>
            <w:tr w:rsidR="00FB4FB4" w:rsidTr="00AA5F90">
              <w:trPr>
                <w:cnfStyle w:val="100000000000"/>
              </w:trPr>
              <w:tc>
                <w:tcPr>
                  <w:cnfStyle w:val="001000000000"/>
                  <w:tcW w:w="124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FB4FB4" w:rsidRPr="00641606" w:rsidRDefault="00FB4FB4" w:rsidP="00FB4FB4">
                  <w:pPr>
                    <w:rPr>
                      <w:b w:val="0"/>
                      <w:sz w:val="20"/>
                      <w:szCs w:val="20"/>
                      <w:lang w:val="fr-FR"/>
                    </w:rPr>
                  </w:pPr>
                  <w:r w:rsidRPr="00641606">
                    <w:rPr>
                      <w:sz w:val="20"/>
                      <w:szCs w:val="20"/>
                      <w:lang w:val="fr-FR"/>
                    </w:rPr>
                    <w:t>2010</w:t>
                  </w:r>
                </w:p>
              </w:tc>
              <w:tc>
                <w:tcPr>
                  <w:tcW w:w="124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FB4FB4" w:rsidRPr="00641606" w:rsidRDefault="00FB4FB4" w:rsidP="00FB4FB4">
                  <w:pPr>
                    <w:cnfStyle w:val="100000000000"/>
                    <w:rPr>
                      <w:b w:val="0"/>
                      <w:sz w:val="20"/>
                      <w:szCs w:val="20"/>
                      <w:lang w:val="fr-FR"/>
                    </w:rPr>
                  </w:pPr>
                  <w:r w:rsidRPr="00641606">
                    <w:rPr>
                      <w:sz w:val="20"/>
                      <w:szCs w:val="20"/>
                      <w:lang w:val="fr-FR"/>
                    </w:rPr>
                    <w:t>2011</w:t>
                  </w:r>
                </w:p>
              </w:tc>
              <w:tc>
                <w:tcPr>
                  <w:tcW w:w="124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FB4FB4" w:rsidRPr="00641606" w:rsidRDefault="00FB4FB4" w:rsidP="00FB4FB4">
                  <w:pPr>
                    <w:cnfStyle w:val="100000000000"/>
                    <w:rPr>
                      <w:b w:val="0"/>
                      <w:sz w:val="20"/>
                      <w:szCs w:val="20"/>
                      <w:lang w:val="fr-FR"/>
                    </w:rPr>
                  </w:pPr>
                  <w:r w:rsidRPr="00641606">
                    <w:rPr>
                      <w:sz w:val="20"/>
                      <w:szCs w:val="20"/>
                      <w:lang w:val="fr-FR"/>
                    </w:rPr>
                    <w:t>2012</w:t>
                  </w:r>
                </w:p>
              </w:tc>
            </w:tr>
            <w:tr w:rsidR="00FB4FB4" w:rsidTr="00AA5F90">
              <w:trPr>
                <w:cnfStyle w:val="000000100000"/>
              </w:trPr>
              <w:tc>
                <w:tcPr>
                  <w:cnfStyle w:val="001000000000"/>
                  <w:tcW w:w="1240" w:type="dxa"/>
                  <w:tcBorders>
                    <w:right w:val="none" w:sz="0" w:space="0" w:color="auto"/>
                  </w:tcBorders>
                </w:tcPr>
                <w:p w:rsidR="00FB4FB4" w:rsidRPr="00641606" w:rsidRDefault="00FB4FB4" w:rsidP="00FB4FB4">
                  <w:pPr>
                    <w:rPr>
                      <w:b w:val="0"/>
                      <w:sz w:val="20"/>
                      <w:szCs w:val="20"/>
                      <w:lang w:val="fr-FR"/>
                    </w:rPr>
                  </w:pPr>
                  <w:r w:rsidRPr="00641606">
                    <w:rPr>
                      <w:sz w:val="20"/>
                      <w:szCs w:val="20"/>
                      <w:lang w:val="fr-FR"/>
                    </w:rPr>
                    <w:t>15</w:t>
                  </w:r>
                </w:p>
              </w:tc>
              <w:tc>
                <w:tcPr>
                  <w:tcW w:w="124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FB4FB4" w:rsidRPr="00641606" w:rsidRDefault="00FB4FB4" w:rsidP="00FB4FB4">
                  <w:pPr>
                    <w:cnfStyle w:val="000000100000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641606">
                    <w:rPr>
                      <w:b/>
                      <w:sz w:val="20"/>
                      <w:szCs w:val="20"/>
                      <w:lang w:val="fr-FR"/>
                    </w:rPr>
                    <w:t>17</w:t>
                  </w:r>
                </w:p>
              </w:tc>
              <w:tc>
                <w:tcPr>
                  <w:tcW w:w="1241" w:type="dxa"/>
                  <w:tcBorders>
                    <w:left w:val="none" w:sz="0" w:space="0" w:color="auto"/>
                  </w:tcBorders>
                </w:tcPr>
                <w:p w:rsidR="00FB4FB4" w:rsidRPr="00641606" w:rsidRDefault="00FB4FB4" w:rsidP="00FB4FB4">
                  <w:pPr>
                    <w:cnfStyle w:val="000000100000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641606">
                    <w:rPr>
                      <w:b/>
                      <w:sz w:val="20"/>
                      <w:szCs w:val="20"/>
                      <w:lang w:val="fr-FR"/>
                    </w:rPr>
                    <w:t>28</w:t>
                  </w:r>
                </w:p>
              </w:tc>
            </w:tr>
          </w:tbl>
          <w:p w:rsidR="00641606" w:rsidRDefault="00641606" w:rsidP="007840CF">
            <w:pPr>
              <w:jc w:val="both"/>
              <w:rPr>
                <w:sz w:val="20"/>
                <w:szCs w:val="20"/>
              </w:rPr>
            </w:pPr>
          </w:p>
          <w:p w:rsidR="00641606" w:rsidRDefault="00641606" w:rsidP="007840CF">
            <w:pPr>
              <w:jc w:val="both"/>
              <w:rPr>
                <w:sz w:val="20"/>
                <w:szCs w:val="20"/>
              </w:rPr>
            </w:pPr>
          </w:p>
          <w:p w:rsidR="007840CF" w:rsidRDefault="00641606" w:rsidP="007840CF">
            <w:pPr>
              <w:jc w:val="both"/>
              <w:rPr>
                <w:b w:val="0"/>
                <w:sz w:val="18"/>
                <w:szCs w:val="18"/>
              </w:rPr>
            </w:pPr>
            <w:r w:rsidRPr="007840CF">
              <w:rPr>
                <w:sz w:val="18"/>
                <w:szCs w:val="18"/>
              </w:rPr>
              <w:t>Le nombre de personnes mises en retraite au titre de l’année 2012 a atteint 28 personnes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573" w:type="dxa"/>
            <w:gridSpan w:val="2"/>
            <w:shd w:val="clear" w:color="auto" w:fill="DAEEF3" w:themeFill="accent5" w:themeFillTint="33"/>
          </w:tcPr>
          <w:p w:rsidR="00641606" w:rsidRDefault="007840CF" w:rsidP="00641606">
            <w:pPr>
              <w:pStyle w:val="Paragraphedeliste"/>
              <w:numPr>
                <w:ilvl w:val="0"/>
                <w:numId w:val="1"/>
              </w:numPr>
              <w:tabs>
                <w:tab w:val="left" w:pos="1725"/>
              </w:tabs>
              <w:spacing w:before="0"/>
              <w:cnfStyle w:val="000000000000"/>
              <w:rPr>
                <w:b/>
                <w:color w:val="0000FF"/>
                <w:u w:val="single"/>
              </w:rPr>
            </w:pPr>
            <w:r w:rsidRPr="007840CF">
              <w:rPr>
                <w:b/>
                <w:color w:val="0000FF"/>
                <w:u w:val="single"/>
              </w:rPr>
              <w:t>Analyse des effectifs par tranche d’âge :</w:t>
            </w:r>
          </w:p>
          <w:p w:rsidR="007840CF" w:rsidRPr="009A56C0" w:rsidRDefault="007840CF" w:rsidP="007840CF">
            <w:pPr>
              <w:jc w:val="both"/>
              <w:cnfStyle w:val="000000000000"/>
              <w:rPr>
                <w:bCs/>
                <w:sz w:val="18"/>
                <w:szCs w:val="18"/>
                <w:rtl/>
              </w:rPr>
            </w:pPr>
            <w:r>
              <w:object w:dxaOrig="6465" w:dyaOrig="2445">
                <v:shape id="_x0000_i1025" type="#_x0000_t75" style="width:264.75pt;height:96.75pt" o:ole="">
                  <v:imagedata r:id="rId9" o:title=""/>
                </v:shape>
                <o:OLEObject Type="Embed" ProgID="PBrush" ShapeID="_x0000_i1025" DrawAspect="Content" ObjectID="_1436277310" r:id="rId10"/>
              </w:object>
            </w:r>
          </w:p>
        </w:tc>
      </w:tr>
      <w:tr w:rsidR="007840CF" w:rsidTr="00B61A7A">
        <w:trPr>
          <w:cnfStyle w:val="000000100000"/>
          <w:trHeight w:val="1255"/>
        </w:trPr>
        <w:tc>
          <w:tcPr>
            <w:cnfStyle w:val="001000000000"/>
            <w:tcW w:w="5573" w:type="dxa"/>
            <w:shd w:val="clear" w:color="auto" w:fill="DBE5F1" w:themeFill="accent1" w:themeFillTint="33"/>
          </w:tcPr>
          <w:p w:rsidR="007840CF" w:rsidRDefault="007840CF" w:rsidP="007840CF">
            <w:pPr>
              <w:jc w:val="both"/>
              <w:rPr>
                <w:sz w:val="20"/>
                <w:szCs w:val="20"/>
              </w:rPr>
            </w:pPr>
          </w:p>
          <w:p w:rsidR="005F6757" w:rsidRDefault="005F6757" w:rsidP="007840CF">
            <w:pPr>
              <w:jc w:val="both"/>
              <w:rPr>
                <w:sz w:val="20"/>
                <w:szCs w:val="20"/>
              </w:rPr>
            </w:pPr>
          </w:p>
          <w:p w:rsidR="005F6757" w:rsidRDefault="005F6757" w:rsidP="007840CF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4395" w:type="dxa"/>
              <w:tblInd w:w="459" w:type="dxa"/>
              <w:tblLayout w:type="fixed"/>
              <w:tblLook w:val="04A0"/>
            </w:tblPr>
            <w:tblGrid>
              <w:gridCol w:w="1277"/>
              <w:gridCol w:w="1178"/>
              <w:gridCol w:w="1940"/>
            </w:tblGrid>
            <w:tr w:rsidR="005F6757" w:rsidRPr="00475E35" w:rsidTr="005F6757">
              <w:trPr>
                <w:trHeight w:hRule="exact" w:val="284"/>
              </w:trPr>
              <w:tc>
                <w:tcPr>
                  <w:tcW w:w="1277" w:type="dxa"/>
                  <w:tcBorders>
                    <w:top w:val="single" w:sz="8" w:space="0" w:color="B3CC82"/>
                    <w:left w:val="nil"/>
                    <w:bottom w:val="single" w:sz="8" w:space="0" w:color="B3CC82"/>
                    <w:right w:val="nil"/>
                  </w:tcBorders>
                  <w:shd w:val="clear" w:color="000000" w:fill="9BBB59"/>
                  <w:hideMark/>
                </w:tcPr>
                <w:p w:rsidR="005F6757" w:rsidRPr="00475E35" w:rsidRDefault="005F6757" w:rsidP="005F6757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475E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GB"/>
                    </w:rPr>
                    <w:t>Grade</w:t>
                  </w:r>
                </w:p>
              </w:tc>
              <w:tc>
                <w:tcPr>
                  <w:tcW w:w="1178" w:type="dxa"/>
                  <w:tcBorders>
                    <w:top w:val="single" w:sz="8" w:space="0" w:color="B3CC82"/>
                    <w:left w:val="nil"/>
                    <w:bottom w:val="single" w:sz="8" w:space="0" w:color="B3CC82"/>
                    <w:right w:val="nil"/>
                  </w:tcBorders>
                  <w:shd w:val="clear" w:color="000000" w:fill="9BBB59"/>
                  <w:hideMark/>
                </w:tcPr>
                <w:p w:rsidR="005F6757" w:rsidRPr="00475E35" w:rsidRDefault="005F6757" w:rsidP="005F6757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  <w:proofErr w:type="spellStart"/>
                  <w:r w:rsidRPr="00475E35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0"/>
                      <w:szCs w:val="20"/>
                      <w:rtl/>
                      <w:lang w:val="en-GB" w:eastAsia="en-GB" w:bidi="ar-MA"/>
                    </w:rPr>
                    <w:t>effectif</w:t>
                  </w:r>
                  <w:proofErr w:type="spellEnd"/>
                </w:p>
              </w:tc>
              <w:tc>
                <w:tcPr>
                  <w:tcW w:w="1940" w:type="dxa"/>
                  <w:tcBorders>
                    <w:top w:val="single" w:sz="8" w:space="0" w:color="B3CC82"/>
                    <w:left w:val="single" w:sz="8" w:space="0" w:color="B3CC82"/>
                    <w:bottom w:val="single" w:sz="8" w:space="0" w:color="B3CC82"/>
                    <w:right w:val="nil"/>
                  </w:tcBorders>
                  <w:shd w:val="clear" w:color="000000" w:fill="9BBB59"/>
                  <w:hideMark/>
                </w:tcPr>
                <w:p w:rsidR="005F6757" w:rsidRPr="00475E35" w:rsidRDefault="005F6757" w:rsidP="005F6757">
                  <w:pPr>
                    <w:framePr w:hSpace="141" w:wrap="around" w:vAnchor="text" w:hAnchor="margin" w:xAlign="center" w:y="152"/>
                    <w:bidi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475E3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val="en-US" w:eastAsia="en-GB"/>
                    </w:rPr>
                    <w:t>%</w:t>
                  </w:r>
                </w:p>
              </w:tc>
            </w:tr>
            <w:tr w:rsidR="005F6757" w:rsidRPr="00475E35" w:rsidTr="005F6757">
              <w:trPr>
                <w:trHeight w:hRule="exact" w:val="284"/>
              </w:trPr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B3CC82"/>
                    <w:right w:val="single" w:sz="8" w:space="0" w:color="B3CC82"/>
                  </w:tcBorders>
                  <w:shd w:val="clear" w:color="000000" w:fill="F79646"/>
                  <w:hideMark/>
                </w:tcPr>
                <w:p w:rsidR="005F6757" w:rsidRPr="00475E35" w:rsidRDefault="005F6757" w:rsidP="00FB4FB4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475E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GB" w:eastAsia="en-GB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GB" w:eastAsia="en-GB"/>
                    </w:rPr>
                    <w:t xml:space="preserve">6 </w:t>
                  </w:r>
                  <w:r w:rsidR="00FB4FB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et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GB" w:eastAsia="en-GB"/>
                    </w:rPr>
                    <w:t xml:space="preserve"> 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8" w:space="0" w:color="B3CC82"/>
                    <w:right w:val="nil"/>
                  </w:tcBorders>
                  <w:shd w:val="clear" w:color="000000" w:fill="C2D69B"/>
                  <w:hideMark/>
                </w:tcPr>
                <w:p w:rsidR="005F6757" w:rsidRPr="00475E35" w:rsidRDefault="005F6757" w:rsidP="005F6757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475E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US" w:eastAsia="en-GB"/>
                    </w:rPr>
                    <w:t>240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B3CC82"/>
                    <w:bottom w:val="single" w:sz="8" w:space="0" w:color="B3CC82"/>
                    <w:right w:val="nil"/>
                  </w:tcBorders>
                  <w:shd w:val="clear" w:color="000000" w:fill="F79646"/>
                  <w:hideMark/>
                </w:tcPr>
                <w:p w:rsidR="005F6757" w:rsidRPr="00475E35" w:rsidRDefault="005F6757" w:rsidP="005F6757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475E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  <w:lang w:val="en-US" w:eastAsia="en-GB"/>
                    </w:rPr>
                    <w:t>20%</w:t>
                  </w:r>
                </w:p>
              </w:tc>
            </w:tr>
            <w:tr w:rsidR="005F6757" w:rsidRPr="00475E35" w:rsidTr="005F6757">
              <w:trPr>
                <w:trHeight w:hRule="exact" w:val="284"/>
              </w:trPr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B3CC82"/>
                    <w:right w:val="single" w:sz="8" w:space="0" w:color="B3CC82"/>
                  </w:tcBorders>
                  <w:shd w:val="clear" w:color="000000" w:fill="F79646"/>
                  <w:hideMark/>
                </w:tcPr>
                <w:p w:rsidR="005F6757" w:rsidRPr="00475E35" w:rsidRDefault="005F6757" w:rsidP="00FB4FB4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475E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GB" w:eastAsia="en-GB"/>
                    </w:rPr>
                    <w:t> 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GB" w:eastAsia="en-GB"/>
                    </w:rPr>
                    <w:t xml:space="preserve">7 </w:t>
                  </w:r>
                  <w:r w:rsidR="00FB4FB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>et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GB" w:eastAsia="en-GB"/>
                    </w:rPr>
                    <w:t xml:space="preserve"> 9 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8" w:space="0" w:color="B3CC82"/>
                    <w:right w:val="nil"/>
                  </w:tcBorders>
                  <w:shd w:val="clear" w:color="000000" w:fill="C2D69B"/>
                  <w:hideMark/>
                </w:tcPr>
                <w:p w:rsidR="005F6757" w:rsidRPr="00475E35" w:rsidRDefault="005F6757" w:rsidP="005F6757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475E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US" w:eastAsia="en-GB"/>
                    </w:rPr>
                    <w:t>189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B3CC82"/>
                    <w:bottom w:val="single" w:sz="8" w:space="0" w:color="B3CC82"/>
                    <w:right w:val="nil"/>
                  </w:tcBorders>
                  <w:shd w:val="clear" w:color="000000" w:fill="F79646"/>
                  <w:hideMark/>
                </w:tcPr>
                <w:p w:rsidR="005F6757" w:rsidRPr="00475E35" w:rsidRDefault="005F6757" w:rsidP="005F6757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475E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  <w:lang w:val="en-US" w:eastAsia="en-GB"/>
                    </w:rPr>
                    <w:t>16%</w:t>
                  </w:r>
                </w:p>
              </w:tc>
            </w:tr>
            <w:tr w:rsidR="005F6757" w:rsidRPr="00475E35" w:rsidTr="005F6757">
              <w:trPr>
                <w:trHeight w:hRule="exact" w:val="284"/>
              </w:trPr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B3CC82"/>
                    <w:right w:val="single" w:sz="8" w:space="0" w:color="B3CC82"/>
                  </w:tcBorders>
                  <w:shd w:val="clear" w:color="000000" w:fill="F79646"/>
                  <w:hideMark/>
                </w:tcPr>
                <w:p w:rsidR="005F6757" w:rsidRPr="00475E35" w:rsidRDefault="005F6757" w:rsidP="005F6757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475E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GB" w:eastAsia="en-GB"/>
                    </w:rPr>
                    <w:t> 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GB" w:eastAsia="en-GB"/>
                    </w:rPr>
                    <w:t>plus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GB" w:eastAsia="en-GB"/>
                    </w:rPr>
                    <w:t xml:space="preserve"> </w:t>
                  </w:r>
                  <w:r w:rsidR="000E7D8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 et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GB" w:eastAsia="en-GB"/>
                    </w:rPr>
                    <w:t>10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8" w:space="0" w:color="B3CC82"/>
                    <w:right w:val="nil"/>
                  </w:tcBorders>
                  <w:shd w:val="clear" w:color="000000" w:fill="C2D69B"/>
                  <w:hideMark/>
                </w:tcPr>
                <w:p w:rsidR="005F6757" w:rsidRPr="00475E35" w:rsidRDefault="005F6757" w:rsidP="005F6757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475E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US" w:eastAsia="en-GB"/>
                    </w:rPr>
                    <w:t>765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B3CC82"/>
                    <w:bottom w:val="single" w:sz="8" w:space="0" w:color="B3CC82"/>
                    <w:right w:val="nil"/>
                  </w:tcBorders>
                  <w:shd w:val="clear" w:color="000000" w:fill="F79646"/>
                  <w:hideMark/>
                </w:tcPr>
                <w:p w:rsidR="005F6757" w:rsidRPr="00475E35" w:rsidRDefault="005F6757" w:rsidP="005F6757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475E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  <w:lang w:val="en-US" w:eastAsia="en-GB"/>
                    </w:rPr>
                    <w:t>64%</w:t>
                  </w:r>
                </w:p>
              </w:tc>
            </w:tr>
            <w:tr w:rsidR="005F6757" w:rsidRPr="00475E35" w:rsidTr="005F6757">
              <w:trPr>
                <w:trHeight w:hRule="exact" w:val="284"/>
              </w:trPr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B3CC82"/>
                    <w:right w:val="single" w:sz="8" w:space="0" w:color="B3CC82"/>
                  </w:tcBorders>
                  <w:shd w:val="clear" w:color="000000" w:fill="F79646"/>
                  <w:hideMark/>
                </w:tcPr>
                <w:p w:rsidR="005F6757" w:rsidRPr="008B0FF3" w:rsidRDefault="005F6757" w:rsidP="005F6757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8B0F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 w:bidi="ar-MA"/>
                    </w:rPr>
                    <w:t>Total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8" w:space="0" w:color="B3CC82"/>
                    <w:right w:val="nil"/>
                  </w:tcBorders>
                  <w:shd w:val="clear" w:color="000000" w:fill="C2D69B"/>
                  <w:hideMark/>
                </w:tcPr>
                <w:p w:rsidR="005F6757" w:rsidRPr="00475E35" w:rsidRDefault="005F6757" w:rsidP="005F6757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475E3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val="en-US" w:eastAsia="en-GB"/>
                    </w:rPr>
                    <w:t>1194</w:t>
                  </w:r>
                </w:p>
              </w:tc>
              <w:tc>
                <w:tcPr>
                  <w:tcW w:w="1940" w:type="dxa"/>
                  <w:tcBorders>
                    <w:top w:val="nil"/>
                    <w:left w:val="single" w:sz="8" w:space="0" w:color="B3CC82"/>
                    <w:bottom w:val="single" w:sz="8" w:space="0" w:color="B3CC82"/>
                    <w:right w:val="nil"/>
                  </w:tcBorders>
                  <w:shd w:val="clear" w:color="000000" w:fill="F79646"/>
                  <w:hideMark/>
                </w:tcPr>
                <w:p w:rsidR="005F6757" w:rsidRPr="00475E35" w:rsidRDefault="005F6757" w:rsidP="005F6757">
                  <w:pPr>
                    <w:framePr w:hSpace="141" w:wrap="around" w:vAnchor="text" w:hAnchor="margin" w:xAlign="center" w:y="152"/>
                    <w:bidi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GB" w:eastAsia="en-GB"/>
                    </w:rPr>
                  </w:pPr>
                  <w:r w:rsidRPr="00475E3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rtl/>
                      <w:lang w:val="en-US" w:eastAsia="en-GB"/>
                    </w:rPr>
                    <w:t>100%</w:t>
                  </w:r>
                </w:p>
              </w:tc>
            </w:tr>
          </w:tbl>
          <w:p w:rsidR="005F6757" w:rsidRDefault="005F6757" w:rsidP="007840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3" w:type="dxa"/>
            <w:gridSpan w:val="2"/>
            <w:shd w:val="clear" w:color="auto" w:fill="DBE5F1" w:themeFill="accent1" w:themeFillTint="33"/>
          </w:tcPr>
          <w:p w:rsidR="00641606" w:rsidRDefault="00641606" w:rsidP="00641606">
            <w:pPr>
              <w:pStyle w:val="Paragraphedeliste"/>
              <w:spacing w:before="0"/>
              <w:ind w:left="360"/>
              <w:cnfStyle w:val="000000100000"/>
              <w:rPr>
                <w:b/>
                <w:bCs/>
                <w:color w:val="0000FF"/>
                <w:u w:val="single"/>
              </w:rPr>
            </w:pPr>
          </w:p>
          <w:p w:rsidR="007840CF" w:rsidRPr="005F6757" w:rsidRDefault="007840CF" w:rsidP="005F6757">
            <w:pPr>
              <w:pStyle w:val="Paragraphedeliste"/>
              <w:numPr>
                <w:ilvl w:val="0"/>
                <w:numId w:val="1"/>
              </w:numPr>
              <w:spacing w:before="0"/>
              <w:cnfStyle w:val="000000100000"/>
              <w:rPr>
                <w:b/>
                <w:bCs/>
                <w:color w:val="0000FF"/>
                <w:u w:val="single"/>
              </w:rPr>
            </w:pPr>
            <w:r w:rsidRPr="005F6757">
              <w:rPr>
                <w:b/>
                <w:bCs/>
                <w:color w:val="0000FF"/>
                <w:u w:val="single"/>
              </w:rPr>
              <w:t xml:space="preserve">Répartition des fonctionnaires selon le </w:t>
            </w:r>
            <w:r w:rsidR="005F6757">
              <w:rPr>
                <w:b/>
                <w:bCs/>
                <w:color w:val="0000FF"/>
                <w:u w:val="single"/>
              </w:rPr>
              <w:t>grade</w:t>
            </w:r>
            <w:r w:rsidRPr="005F6757">
              <w:rPr>
                <w:b/>
                <w:bCs/>
                <w:color w:val="0000FF"/>
                <w:u w:val="single"/>
              </w:rPr>
              <w:t> :</w:t>
            </w:r>
          </w:p>
          <w:p w:rsidR="007840CF" w:rsidRPr="005F6757" w:rsidRDefault="007840CF" w:rsidP="005F6757">
            <w:pPr>
              <w:spacing w:line="276" w:lineRule="auto"/>
              <w:cnfStyle w:val="000000100000"/>
              <w:rPr>
                <w:b/>
                <w:sz w:val="18"/>
                <w:szCs w:val="18"/>
              </w:rPr>
            </w:pPr>
            <w:r w:rsidRPr="005F6757">
              <w:rPr>
                <w:b/>
                <w:sz w:val="18"/>
                <w:szCs w:val="18"/>
              </w:rPr>
              <w:t>Les agents d’exécution classés aux échelles 5 et 6 représentent 20% de l’ensemble du personnel du ministère.</w:t>
            </w:r>
          </w:p>
          <w:p w:rsidR="007840CF" w:rsidRPr="005F6757" w:rsidRDefault="007840CF" w:rsidP="005F6757">
            <w:pPr>
              <w:spacing w:line="276" w:lineRule="auto"/>
              <w:cnfStyle w:val="000000100000"/>
              <w:rPr>
                <w:b/>
                <w:sz w:val="18"/>
                <w:szCs w:val="18"/>
              </w:rPr>
            </w:pPr>
            <w:r w:rsidRPr="005F6757">
              <w:rPr>
                <w:b/>
                <w:sz w:val="18"/>
                <w:szCs w:val="18"/>
              </w:rPr>
              <w:t xml:space="preserve"> Les fonctionnaires classés aux échelles 7 et 9 représentent 16% de l’ensemble du personnel du ministère.</w:t>
            </w:r>
          </w:p>
          <w:p w:rsidR="007840CF" w:rsidRPr="005F6757" w:rsidRDefault="007840CF" w:rsidP="005F6757">
            <w:pPr>
              <w:spacing w:line="276" w:lineRule="auto"/>
              <w:cnfStyle w:val="000000100000"/>
              <w:rPr>
                <w:b/>
                <w:sz w:val="18"/>
                <w:szCs w:val="18"/>
              </w:rPr>
            </w:pPr>
            <w:r w:rsidRPr="005F6757">
              <w:rPr>
                <w:b/>
                <w:sz w:val="18"/>
                <w:szCs w:val="18"/>
              </w:rPr>
              <w:t>64 % des fonctionnaires sont des cadres (Echelles 10 et plus).</w:t>
            </w:r>
          </w:p>
          <w:p w:rsidR="007840CF" w:rsidRPr="005F6757" w:rsidRDefault="007840CF" w:rsidP="00264B4E">
            <w:pPr>
              <w:spacing w:line="276" w:lineRule="auto"/>
              <w:cnfStyle w:val="000000100000"/>
              <w:rPr>
                <w:b/>
                <w:sz w:val="18"/>
                <w:szCs w:val="18"/>
              </w:rPr>
            </w:pPr>
            <w:r w:rsidRPr="005F6757">
              <w:rPr>
                <w:b/>
                <w:sz w:val="18"/>
                <w:szCs w:val="18"/>
              </w:rPr>
              <w:t>On note une évolution significative du taux d’encadrement au sein du ministère comparativement à l’année 2003,  ainsi, le nombre des fonctionnaires classés aux échelles 10 et plus est passé à 64% entre 2003 et 2012. Cela est attribué, aux promotions normales et exceptionnelles des fonctionnaires</w:t>
            </w:r>
            <w:r w:rsidR="00264B4E">
              <w:rPr>
                <w:b/>
                <w:sz w:val="18"/>
                <w:szCs w:val="18"/>
              </w:rPr>
              <w:t xml:space="preserve"> </w:t>
            </w:r>
            <w:r w:rsidRPr="005F6757">
              <w:rPr>
                <w:b/>
                <w:sz w:val="18"/>
                <w:szCs w:val="18"/>
              </w:rPr>
              <w:t>des échelles 7 à 9 au titre des années précédentes.</w:t>
            </w:r>
          </w:p>
          <w:p w:rsidR="007840CF" w:rsidRPr="005F6757" w:rsidRDefault="007840CF" w:rsidP="005F6757">
            <w:pPr>
              <w:tabs>
                <w:tab w:val="left" w:pos="1725"/>
              </w:tabs>
              <w:cnfStyle w:val="000000100000"/>
              <w:rPr>
                <w:b/>
                <w:color w:val="0000FF"/>
                <w:u w:val="single"/>
              </w:rPr>
            </w:pPr>
            <w:r w:rsidRPr="005F6757">
              <w:rPr>
                <w:b/>
                <w:sz w:val="18"/>
                <w:szCs w:val="18"/>
              </w:rPr>
              <w:t>A noter que ce taux ne reflète pas le niveau d’étude des fonctionnaires</w:t>
            </w:r>
            <w:r w:rsidRPr="005F6757">
              <w:rPr>
                <w:sz w:val="18"/>
                <w:szCs w:val="18"/>
              </w:rPr>
              <w:t>.</w:t>
            </w:r>
          </w:p>
        </w:tc>
      </w:tr>
    </w:tbl>
    <w:tbl>
      <w:tblPr>
        <w:tblStyle w:val="Grillemoyenne1-Accent3"/>
        <w:bidiVisual/>
        <w:tblW w:w="5984" w:type="pct"/>
        <w:jc w:val="center"/>
        <w:tblInd w:w="-521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ook w:val="04A0"/>
      </w:tblPr>
      <w:tblGrid>
        <w:gridCol w:w="6550"/>
        <w:gridCol w:w="4566"/>
      </w:tblGrid>
      <w:tr w:rsidR="00E36A6E" w:rsidTr="002D6975">
        <w:trPr>
          <w:cnfStyle w:val="100000000000"/>
          <w:trHeight w:val="1709"/>
          <w:jc w:val="center"/>
        </w:trPr>
        <w:tc>
          <w:tcPr>
            <w:cnfStyle w:val="001000000000"/>
            <w:tcW w:w="11116" w:type="dxa"/>
            <w:gridSpan w:val="2"/>
            <w:shd w:val="clear" w:color="auto" w:fill="DAEEF3" w:themeFill="accent5" w:themeFillTint="33"/>
          </w:tcPr>
          <w:p w:rsidR="00FB4FB4" w:rsidRPr="00FB4FB4" w:rsidRDefault="00FB4FB4" w:rsidP="00FB4FB4">
            <w:pPr>
              <w:rPr>
                <w:color w:val="0000FF"/>
                <w:u w:val="single"/>
              </w:rPr>
            </w:pPr>
          </w:p>
          <w:p w:rsidR="00E36A6E" w:rsidRPr="00AF326A" w:rsidRDefault="00E36A6E" w:rsidP="004C3136">
            <w:pPr>
              <w:pStyle w:val="Paragraphedeliste"/>
              <w:numPr>
                <w:ilvl w:val="0"/>
                <w:numId w:val="1"/>
              </w:numPr>
              <w:spacing w:before="0"/>
              <w:rPr>
                <w:bCs w:val="0"/>
                <w:color w:val="0000FF"/>
                <w:u w:val="single"/>
              </w:rPr>
            </w:pPr>
            <w:r w:rsidRPr="00AF326A">
              <w:rPr>
                <w:bCs w:val="0"/>
                <w:color w:val="0000FF"/>
                <w:u w:val="single"/>
              </w:rPr>
              <w:t>Les situations  administratives :</w:t>
            </w:r>
          </w:p>
          <w:p w:rsidR="00E36A6E" w:rsidRPr="00E36A6E" w:rsidRDefault="00E36A6E" w:rsidP="00E36A6E">
            <w:pPr>
              <w:pStyle w:val="Paragraphedeliste"/>
              <w:numPr>
                <w:ilvl w:val="0"/>
                <w:numId w:val="45"/>
              </w:numPr>
              <w:jc w:val="both"/>
            </w:pPr>
            <w:r w:rsidRPr="00E36A6E">
              <w:t>Les allocations familiales :</w:t>
            </w:r>
          </w:p>
          <w:p w:rsidR="00E36A6E" w:rsidRPr="004C3136" w:rsidRDefault="00E36A6E" w:rsidP="00264B4E">
            <w:pPr>
              <w:jc w:val="both"/>
              <w:rPr>
                <w:bCs w:val="0"/>
                <w:sz w:val="18"/>
                <w:szCs w:val="18"/>
              </w:rPr>
            </w:pPr>
            <w:r w:rsidRPr="004C3136">
              <w:rPr>
                <w:bCs w:val="0"/>
                <w:sz w:val="18"/>
                <w:szCs w:val="18"/>
              </w:rPr>
              <w:t>Le ministère a effectué 230 opér</w:t>
            </w:r>
            <w:r w:rsidR="00264B4E">
              <w:rPr>
                <w:bCs w:val="0"/>
                <w:sz w:val="18"/>
                <w:szCs w:val="18"/>
              </w:rPr>
              <w:t>ations d’octroi d’</w:t>
            </w:r>
            <w:r w:rsidRPr="004C3136">
              <w:rPr>
                <w:bCs w:val="0"/>
                <w:sz w:val="18"/>
                <w:szCs w:val="18"/>
              </w:rPr>
              <w:t>allocations familiales.</w:t>
            </w:r>
          </w:p>
          <w:p w:rsidR="00E36A6E" w:rsidRPr="00E36A6E" w:rsidRDefault="00E36A6E" w:rsidP="00E36A6E">
            <w:pPr>
              <w:pStyle w:val="Paragraphedeliste"/>
              <w:numPr>
                <w:ilvl w:val="0"/>
                <w:numId w:val="45"/>
              </w:numPr>
              <w:spacing w:before="0"/>
              <w:jc w:val="both"/>
              <w:rPr>
                <w:color w:val="1F497D" w:themeColor="text2"/>
              </w:rPr>
            </w:pPr>
            <w:r w:rsidRPr="00E36A6E">
              <w:t>Les</w:t>
            </w:r>
            <w:r w:rsidRPr="00E36A6E">
              <w:rPr>
                <w:color w:val="1F497D" w:themeColor="text2"/>
              </w:rPr>
              <w:t xml:space="preserve"> </w:t>
            </w:r>
            <w:r w:rsidRPr="00E36A6E">
              <w:t>mutations</w:t>
            </w:r>
            <w:r w:rsidRPr="00E36A6E">
              <w:rPr>
                <w:color w:val="1F497D" w:themeColor="text2"/>
              </w:rPr>
              <w:t> :</w:t>
            </w:r>
          </w:p>
          <w:p w:rsidR="00E36A6E" w:rsidRPr="004C3136" w:rsidRDefault="00E36A6E" w:rsidP="00264B4E">
            <w:pPr>
              <w:spacing w:after="120"/>
              <w:rPr>
                <w:rFonts w:cs="Arabic Transparent"/>
                <w:noProof/>
                <w:sz w:val="30"/>
                <w:szCs w:val="30"/>
                <w:rtl/>
                <w:lang w:eastAsia="fr-FR"/>
              </w:rPr>
            </w:pPr>
            <w:r w:rsidRPr="001435EB">
              <w:rPr>
                <w:bCs w:val="0"/>
                <w:sz w:val="18"/>
                <w:szCs w:val="18"/>
              </w:rPr>
              <w:t>Dans le cadre de la mobilité du personnel du ministère, le département de l’emploi a effec</w:t>
            </w:r>
            <w:r w:rsidR="00264B4E">
              <w:rPr>
                <w:bCs w:val="0"/>
                <w:sz w:val="18"/>
                <w:szCs w:val="18"/>
              </w:rPr>
              <w:t xml:space="preserve">tué 26 opérations de mutations, et ce, </w:t>
            </w:r>
            <w:r w:rsidR="00264B4E" w:rsidRPr="001435EB">
              <w:rPr>
                <w:bCs w:val="0"/>
                <w:sz w:val="18"/>
                <w:szCs w:val="18"/>
              </w:rPr>
              <w:t>pour</w:t>
            </w:r>
            <w:r w:rsidR="00264B4E">
              <w:rPr>
                <w:bCs w:val="0"/>
                <w:sz w:val="18"/>
                <w:szCs w:val="18"/>
              </w:rPr>
              <w:t xml:space="preserve"> ou bien</w:t>
            </w:r>
            <w:r w:rsidRPr="001435EB">
              <w:rPr>
                <w:bCs w:val="0"/>
                <w:sz w:val="18"/>
                <w:szCs w:val="18"/>
              </w:rPr>
              <w:t xml:space="preserve"> répondre à  un </w:t>
            </w:r>
            <w:r w:rsidR="00264B4E">
              <w:rPr>
                <w:bCs w:val="0"/>
                <w:sz w:val="18"/>
                <w:szCs w:val="18"/>
              </w:rPr>
              <w:t>manque en ressources Humaines enregistré au niveau de</w:t>
            </w:r>
            <w:r w:rsidRPr="001435EB">
              <w:rPr>
                <w:bCs w:val="0"/>
                <w:sz w:val="18"/>
                <w:szCs w:val="18"/>
              </w:rPr>
              <w:t xml:space="preserve"> certaines directions ou délégations, </w:t>
            </w:r>
            <w:r w:rsidR="00264B4E">
              <w:rPr>
                <w:bCs w:val="0"/>
                <w:sz w:val="18"/>
                <w:szCs w:val="18"/>
              </w:rPr>
              <w:t>ou</w:t>
            </w:r>
            <w:r w:rsidRPr="001435EB">
              <w:rPr>
                <w:bCs w:val="0"/>
                <w:sz w:val="18"/>
                <w:szCs w:val="18"/>
              </w:rPr>
              <w:t xml:space="preserve"> à la demande de certains fonctionnaires </w:t>
            </w:r>
            <w:r w:rsidRPr="007840CF">
              <w:rPr>
                <w:bCs w:val="0"/>
                <w:sz w:val="18"/>
                <w:szCs w:val="18"/>
              </w:rPr>
              <w:t>désirants rejoindre</w:t>
            </w:r>
            <w:r w:rsidRPr="001435EB">
              <w:rPr>
                <w:bCs w:val="0"/>
                <w:sz w:val="18"/>
                <w:szCs w:val="18"/>
              </w:rPr>
              <w:t xml:space="preserve"> leurs conjoints ou pour des raisons familiales, de santé.</w:t>
            </w:r>
          </w:p>
        </w:tc>
      </w:tr>
      <w:tr w:rsidR="00AF326A" w:rsidTr="007840CF">
        <w:trPr>
          <w:cnfStyle w:val="000000100000"/>
          <w:trHeight w:val="979"/>
          <w:jc w:val="center"/>
        </w:trPr>
        <w:tc>
          <w:tcPr>
            <w:cnfStyle w:val="001000000000"/>
            <w:tcW w:w="6550" w:type="dxa"/>
            <w:shd w:val="clear" w:color="auto" w:fill="DAEEF3" w:themeFill="accent5" w:themeFillTint="33"/>
          </w:tcPr>
          <w:p w:rsidR="00AF326A" w:rsidRPr="007840CF" w:rsidRDefault="00AF326A" w:rsidP="001435EB">
            <w:pPr>
              <w:rPr>
                <w:b w:val="0"/>
                <w:color w:val="365F91" w:themeColor="accent1" w:themeShade="BF"/>
                <w:sz w:val="6"/>
                <w:szCs w:val="6"/>
                <w:u w:val="single"/>
              </w:rPr>
            </w:pPr>
          </w:p>
          <w:p w:rsidR="007840CF" w:rsidRDefault="006D2EC8" w:rsidP="001435EB">
            <w:pPr>
              <w:rPr>
                <w:b w:val="0"/>
                <w:color w:val="365F91" w:themeColor="accent1" w:themeShade="BF"/>
                <w:u w:val="single"/>
              </w:rPr>
            </w:pPr>
            <w:r>
              <w:rPr>
                <w:b w:val="0"/>
                <w:color w:val="365F91" w:themeColor="accent1" w:themeShade="BF"/>
                <w:u w:val="single"/>
              </w:rPr>
              <w:t xml:space="preserve"> </w:t>
            </w:r>
          </w:p>
          <w:p w:rsidR="006D2EC8" w:rsidRDefault="006D2EC8" w:rsidP="001435EB">
            <w:pPr>
              <w:rPr>
                <w:b w:val="0"/>
                <w:color w:val="365F91" w:themeColor="accent1" w:themeShade="BF"/>
                <w:u w:val="single"/>
              </w:rPr>
            </w:pPr>
          </w:p>
        </w:tc>
        <w:tc>
          <w:tcPr>
            <w:tcW w:w="4566" w:type="dxa"/>
            <w:shd w:val="clear" w:color="auto" w:fill="DAEEF3" w:themeFill="accent5" w:themeFillTint="33"/>
          </w:tcPr>
          <w:p w:rsidR="00AF326A" w:rsidRPr="00FB4FB4" w:rsidRDefault="00AF326A" w:rsidP="00FB4FB4">
            <w:pPr>
              <w:jc w:val="both"/>
              <w:cnfStyle w:val="000000100000"/>
              <w:rPr>
                <w:b/>
                <w:sz w:val="18"/>
                <w:szCs w:val="18"/>
              </w:rPr>
            </w:pPr>
          </w:p>
        </w:tc>
      </w:tr>
      <w:tr w:rsidR="00B80A83" w:rsidTr="00435CA1">
        <w:trPr>
          <w:trHeight w:val="2113"/>
          <w:jc w:val="center"/>
        </w:trPr>
        <w:tc>
          <w:tcPr>
            <w:cnfStyle w:val="001000000000"/>
            <w:tcW w:w="11116" w:type="dxa"/>
            <w:gridSpan w:val="2"/>
            <w:shd w:val="clear" w:color="auto" w:fill="DBE5F1" w:themeFill="accent1" w:themeFillTint="33"/>
          </w:tcPr>
          <w:p w:rsidR="00D20CAD" w:rsidRPr="00B61A7A" w:rsidRDefault="00D20CAD" w:rsidP="00D20CAD">
            <w:pPr>
              <w:pStyle w:val="Paragraphedeliste"/>
              <w:numPr>
                <w:ilvl w:val="0"/>
                <w:numId w:val="1"/>
              </w:numPr>
              <w:spacing w:before="0"/>
              <w:rPr>
                <w:color w:val="0000FF"/>
                <w:u w:val="single"/>
              </w:rPr>
            </w:pPr>
            <w:r w:rsidRPr="00B61A7A">
              <w:rPr>
                <w:color w:val="0000FF"/>
                <w:u w:val="single"/>
              </w:rPr>
              <w:lastRenderedPageBreak/>
              <w:t>Actions  administratives au titre de l’année 2012 :</w:t>
            </w:r>
          </w:p>
          <w:p w:rsidR="009B295F" w:rsidRPr="00B61A7A" w:rsidRDefault="00B61A7A" w:rsidP="00B61A7A">
            <w:pPr>
              <w:jc w:val="both"/>
              <w:rPr>
                <w:bCs w:val="0"/>
                <w:sz w:val="18"/>
                <w:szCs w:val="18"/>
              </w:rPr>
            </w:pPr>
            <w:r w:rsidRPr="00B61A7A">
              <w:rPr>
                <w:bCs w:val="0"/>
                <w:sz w:val="18"/>
                <w:szCs w:val="18"/>
              </w:rPr>
              <w:t>Le graphe ci-dessous résume les actions administratives au titre de l’année 2012 :</w:t>
            </w:r>
          </w:p>
          <w:p w:rsidR="00B61A7A" w:rsidRPr="00B61A7A" w:rsidRDefault="00B61A7A" w:rsidP="00B61A7A">
            <w:pPr>
              <w:jc w:val="center"/>
              <w:rPr>
                <w:bCs w:val="0"/>
                <w:sz w:val="18"/>
                <w:szCs w:val="18"/>
              </w:rPr>
            </w:pPr>
            <w:r w:rsidRPr="00B61A7A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3965575" cy="1085850"/>
                  <wp:effectExtent l="19050" t="0" r="15875" b="0"/>
                  <wp:docPr id="2" name="Graphique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B61A7A" w:rsidRPr="00B61A7A" w:rsidRDefault="00B61A7A" w:rsidP="00AC5085">
            <w:pPr>
              <w:jc w:val="both"/>
              <w:rPr>
                <w:bCs w:val="0"/>
                <w:sz w:val="18"/>
                <w:szCs w:val="18"/>
                <w:rtl/>
              </w:rPr>
            </w:pPr>
          </w:p>
        </w:tc>
      </w:tr>
      <w:tr w:rsidR="00B61A7A" w:rsidTr="009538D4">
        <w:trPr>
          <w:cnfStyle w:val="000000100000"/>
          <w:trHeight w:val="912"/>
          <w:jc w:val="center"/>
        </w:trPr>
        <w:tc>
          <w:tcPr>
            <w:cnfStyle w:val="001000000000"/>
            <w:tcW w:w="11116" w:type="dxa"/>
            <w:gridSpan w:val="2"/>
            <w:shd w:val="clear" w:color="auto" w:fill="DBE5F1" w:themeFill="accent1" w:themeFillTint="33"/>
          </w:tcPr>
          <w:p w:rsidR="00B61A7A" w:rsidRPr="004C760D" w:rsidRDefault="00B61A7A" w:rsidP="00435CA1">
            <w:pPr>
              <w:pStyle w:val="Paragraphedeliste"/>
              <w:numPr>
                <w:ilvl w:val="0"/>
                <w:numId w:val="43"/>
              </w:numPr>
              <w:spacing w:before="0"/>
              <w:jc w:val="both"/>
              <w:rPr>
                <w:sz w:val="20"/>
                <w:szCs w:val="20"/>
              </w:rPr>
            </w:pPr>
            <w:r w:rsidRPr="004C760D">
              <w:rPr>
                <w:sz w:val="20"/>
                <w:szCs w:val="20"/>
              </w:rPr>
              <w:t>Avancement et promotions de grade (au choix):</w:t>
            </w:r>
          </w:p>
          <w:p w:rsidR="00B61A7A" w:rsidRPr="00BC0A1F" w:rsidRDefault="00B61A7A" w:rsidP="00B61A7A">
            <w:pPr>
              <w:rPr>
                <w:bCs w:val="0"/>
                <w:sz w:val="6"/>
                <w:szCs w:val="6"/>
              </w:rPr>
            </w:pPr>
          </w:p>
          <w:tbl>
            <w:tblPr>
              <w:tblStyle w:val="Tramemoyenne1-Accent3"/>
              <w:tblW w:w="4415" w:type="dxa"/>
              <w:jc w:val="center"/>
              <w:tblBorders>
                <w:insideV w:val="single" w:sz="8" w:space="0" w:color="B3CC82" w:themeColor="accent3" w:themeTint="BF"/>
              </w:tblBorders>
              <w:tblLook w:val="04A0"/>
            </w:tblPr>
            <w:tblGrid>
              <w:gridCol w:w="2850"/>
              <w:gridCol w:w="1565"/>
            </w:tblGrid>
            <w:tr w:rsidR="00BC0A1F" w:rsidRPr="006D19D0" w:rsidTr="00435CA1">
              <w:trPr>
                <w:cnfStyle w:val="100000000000"/>
                <w:trHeight w:val="251"/>
                <w:jc w:val="center"/>
              </w:trPr>
              <w:tc>
                <w:tcPr>
                  <w:cnfStyle w:val="001000000000"/>
                  <w:tcW w:w="2850" w:type="dxa"/>
                  <w:noWrap/>
                  <w:hideMark/>
                </w:tcPr>
                <w:p w:rsidR="00BC0A1F" w:rsidRPr="00BC0A1F" w:rsidRDefault="00BC0A1F" w:rsidP="000753A6">
                  <w:pPr>
                    <w:jc w:val="center"/>
                    <w:rPr>
                      <w:rFonts w:ascii="Calibri" w:eastAsia="Times New Roman" w:hAnsi="Calibri" w:cs="Times New Roman"/>
                      <w:b w:val="0"/>
                      <w:bCs w:val="0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Action</w:t>
                  </w:r>
                </w:p>
              </w:tc>
              <w:tc>
                <w:tcPr>
                  <w:tcW w:w="1565" w:type="dxa"/>
                  <w:noWrap/>
                  <w:hideMark/>
                </w:tcPr>
                <w:p w:rsidR="00BC0A1F" w:rsidRPr="006D19D0" w:rsidRDefault="00BC0A1F" w:rsidP="000753A6">
                  <w:pPr>
                    <w:jc w:val="center"/>
                    <w:cnfStyle w:val="100000000000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proofErr w:type="spellStart"/>
                  <w:r w:rsidRPr="006D19D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Effectif</w:t>
                  </w:r>
                  <w:proofErr w:type="spellEnd"/>
                </w:p>
              </w:tc>
            </w:tr>
            <w:tr w:rsidR="00BC0A1F" w:rsidRPr="006D19D0" w:rsidTr="00435CA1">
              <w:trPr>
                <w:cnfStyle w:val="000000100000"/>
                <w:trHeight w:val="226"/>
                <w:jc w:val="center"/>
              </w:trPr>
              <w:tc>
                <w:tcPr>
                  <w:cnfStyle w:val="001000000000"/>
                  <w:tcW w:w="2850" w:type="dxa"/>
                  <w:tcBorders>
                    <w:right w:val="none" w:sz="0" w:space="0" w:color="auto"/>
                  </w:tcBorders>
                  <w:noWrap/>
                  <w:hideMark/>
                </w:tcPr>
                <w:p w:rsidR="00BC0A1F" w:rsidRPr="006D19D0" w:rsidRDefault="00BC0A1F" w:rsidP="003231D2">
                  <w:pP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proofErr w:type="spellStart"/>
                  <w:r w:rsidRPr="006D19D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Titularisation</w:t>
                  </w:r>
                  <w:proofErr w:type="spellEnd"/>
                </w:p>
              </w:tc>
              <w:tc>
                <w:tcPr>
                  <w:tcW w:w="1565" w:type="dxa"/>
                  <w:tcBorders>
                    <w:left w:val="none" w:sz="0" w:space="0" w:color="auto"/>
                  </w:tcBorders>
                  <w:noWrap/>
                  <w:hideMark/>
                </w:tcPr>
                <w:p w:rsidR="00BC0A1F" w:rsidRPr="006D19D0" w:rsidRDefault="00BC0A1F" w:rsidP="003231D2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D19D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55</w:t>
                  </w:r>
                </w:p>
              </w:tc>
            </w:tr>
            <w:tr w:rsidR="00BC0A1F" w:rsidRPr="006D19D0" w:rsidTr="00435CA1">
              <w:trPr>
                <w:cnfStyle w:val="000000010000"/>
                <w:trHeight w:val="226"/>
                <w:jc w:val="center"/>
              </w:trPr>
              <w:tc>
                <w:tcPr>
                  <w:cnfStyle w:val="001000000000"/>
                  <w:tcW w:w="2850" w:type="dxa"/>
                  <w:tcBorders>
                    <w:right w:val="none" w:sz="0" w:space="0" w:color="auto"/>
                  </w:tcBorders>
                  <w:noWrap/>
                  <w:hideMark/>
                </w:tcPr>
                <w:p w:rsidR="00BC0A1F" w:rsidRPr="006D19D0" w:rsidRDefault="00BC0A1F" w:rsidP="003231D2">
                  <w:pP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proofErr w:type="spellStart"/>
                  <w:r w:rsidRPr="006D19D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Avancement</w:t>
                  </w:r>
                  <w:proofErr w:type="spellEnd"/>
                  <w:r w:rsidRPr="006D19D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 en </w:t>
                  </w:r>
                  <w:proofErr w:type="spellStart"/>
                  <w:r w:rsidRPr="006D19D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échelon</w:t>
                  </w:r>
                  <w:proofErr w:type="spellEnd"/>
                </w:p>
              </w:tc>
              <w:tc>
                <w:tcPr>
                  <w:tcW w:w="1565" w:type="dxa"/>
                  <w:tcBorders>
                    <w:left w:val="none" w:sz="0" w:space="0" w:color="auto"/>
                  </w:tcBorders>
                  <w:noWrap/>
                  <w:hideMark/>
                </w:tcPr>
                <w:p w:rsidR="00BC0A1F" w:rsidRPr="006D19D0" w:rsidRDefault="00BC0A1F" w:rsidP="003231D2">
                  <w:pPr>
                    <w:jc w:val="right"/>
                    <w:cnfStyle w:val="000000010000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D19D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494</w:t>
                  </w:r>
                </w:p>
              </w:tc>
            </w:tr>
            <w:tr w:rsidR="00BC0A1F" w:rsidRPr="006D19D0" w:rsidTr="00435CA1">
              <w:trPr>
                <w:cnfStyle w:val="000000100000"/>
                <w:trHeight w:val="226"/>
                <w:jc w:val="center"/>
              </w:trPr>
              <w:tc>
                <w:tcPr>
                  <w:cnfStyle w:val="001000000000"/>
                  <w:tcW w:w="2850" w:type="dxa"/>
                  <w:tcBorders>
                    <w:right w:val="none" w:sz="0" w:space="0" w:color="auto"/>
                  </w:tcBorders>
                  <w:noWrap/>
                  <w:hideMark/>
                </w:tcPr>
                <w:p w:rsidR="00BC0A1F" w:rsidRPr="006D19D0" w:rsidRDefault="00BC0A1F" w:rsidP="003231D2">
                  <w:pP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D19D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Promotion en grade</w:t>
                  </w:r>
                </w:p>
              </w:tc>
              <w:tc>
                <w:tcPr>
                  <w:tcW w:w="1565" w:type="dxa"/>
                  <w:tcBorders>
                    <w:left w:val="none" w:sz="0" w:space="0" w:color="auto"/>
                  </w:tcBorders>
                  <w:noWrap/>
                  <w:hideMark/>
                </w:tcPr>
                <w:p w:rsidR="00BC0A1F" w:rsidRPr="006D19D0" w:rsidRDefault="00BC0A1F" w:rsidP="003231D2">
                  <w:pPr>
                    <w:jc w:val="right"/>
                    <w:cnfStyle w:val="000000100000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6D19D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90</w:t>
                  </w:r>
                </w:p>
              </w:tc>
            </w:tr>
          </w:tbl>
          <w:p w:rsidR="00BC0A1F" w:rsidRPr="00B61A7A" w:rsidRDefault="00BC0A1F" w:rsidP="00B61A7A">
            <w:pPr>
              <w:rPr>
                <w:color w:val="0000FF"/>
                <w:u w:val="single"/>
              </w:rPr>
            </w:pPr>
          </w:p>
        </w:tc>
      </w:tr>
      <w:tr w:rsidR="00B80A83" w:rsidTr="009538D4">
        <w:trPr>
          <w:trHeight w:val="1143"/>
          <w:jc w:val="center"/>
        </w:trPr>
        <w:tc>
          <w:tcPr>
            <w:cnfStyle w:val="001000000000"/>
            <w:tcW w:w="11116" w:type="dxa"/>
            <w:gridSpan w:val="2"/>
            <w:shd w:val="clear" w:color="auto" w:fill="DAEEF3" w:themeFill="accent5" w:themeFillTint="33"/>
          </w:tcPr>
          <w:p w:rsidR="00AC5085" w:rsidRPr="004C760D" w:rsidRDefault="00AC5085" w:rsidP="00435CA1">
            <w:pPr>
              <w:pStyle w:val="Paragraphedeliste"/>
              <w:numPr>
                <w:ilvl w:val="0"/>
                <w:numId w:val="43"/>
              </w:numPr>
              <w:spacing w:before="0"/>
              <w:jc w:val="both"/>
              <w:rPr>
                <w:sz w:val="20"/>
                <w:szCs w:val="20"/>
              </w:rPr>
            </w:pPr>
            <w:r w:rsidRPr="004C760D">
              <w:rPr>
                <w:sz w:val="20"/>
                <w:szCs w:val="20"/>
              </w:rPr>
              <w:t>Promotion de grade via l’examen d’aptitude professionnelle :</w:t>
            </w:r>
          </w:p>
          <w:p w:rsidR="00AC5085" w:rsidRPr="00007778" w:rsidRDefault="00AC5085" w:rsidP="00007778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007778">
              <w:rPr>
                <w:sz w:val="18"/>
                <w:szCs w:val="18"/>
              </w:rPr>
              <w:t xml:space="preserve">Au titre de l’exercice 2012, la Direction des Ressources Humaines a organisé 10 examens d’aptitude professionnelle pour </w:t>
            </w:r>
            <w:r w:rsidR="00264B4E" w:rsidRPr="00007778">
              <w:rPr>
                <w:sz w:val="18"/>
                <w:szCs w:val="18"/>
              </w:rPr>
              <w:t>des</w:t>
            </w:r>
            <w:r w:rsidRPr="00007778">
              <w:rPr>
                <w:sz w:val="18"/>
                <w:szCs w:val="18"/>
              </w:rPr>
              <w:t xml:space="preserve"> promotion</w:t>
            </w:r>
            <w:r w:rsidR="00264B4E" w:rsidRPr="00007778">
              <w:rPr>
                <w:sz w:val="18"/>
                <w:szCs w:val="18"/>
              </w:rPr>
              <w:t>s</w:t>
            </w:r>
            <w:r w:rsidR="000753A6" w:rsidRPr="00007778">
              <w:rPr>
                <w:sz w:val="18"/>
                <w:szCs w:val="18"/>
              </w:rPr>
              <w:t xml:space="preserve"> </w:t>
            </w:r>
            <w:r w:rsidRPr="00007778">
              <w:rPr>
                <w:sz w:val="18"/>
                <w:szCs w:val="18"/>
              </w:rPr>
              <w:t xml:space="preserve">tous </w:t>
            </w:r>
            <w:r w:rsidR="000753A6" w:rsidRPr="00007778">
              <w:rPr>
                <w:sz w:val="18"/>
                <w:szCs w:val="18"/>
              </w:rPr>
              <w:t>grades confondus</w:t>
            </w:r>
            <w:r w:rsidRPr="00007778">
              <w:rPr>
                <w:sz w:val="18"/>
                <w:szCs w:val="18"/>
              </w:rPr>
              <w:t>. Ces examens ont touché 206 fonctionnaires pour un total de 38 postes budgétaires.</w:t>
            </w:r>
          </w:p>
          <w:p w:rsidR="00AC5085" w:rsidRPr="00007778" w:rsidRDefault="00AC5085" w:rsidP="00007778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007778">
              <w:rPr>
                <w:sz w:val="18"/>
                <w:szCs w:val="18"/>
              </w:rPr>
              <w:t xml:space="preserve">Ainsi le taux de réussite au niveau des services extérieurs </w:t>
            </w:r>
            <w:r w:rsidR="00264B4E" w:rsidRPr="00007778">
              <w:rPr>
                <w:sz w:val="18"/>
                <w:szCs w:val="18"/>
              </w:rPr>
              <w:t xml:space="preserve">a </w:t>
            </w:r>
            <w:r w:rsidRPr="00007778">
              <w:rPr>
                <w:sz w:val="18"/>
                <w:szCs w:val="18"/>
              </w:rPr>
              <w:t>atteint 57% répartis sur tou</w:t>
            </w:r>
            <w:r w:rsidR="00007778" w:rsidRPr="00007778">
              <w:rPr>
                <w:sz w:val="18"/>
                <w:szCs w:val="18"/>
              </w:rPr>
              <w:t>te</w:t>
            </w:r>
            <w:r w:rsidRPr="00007778">
              <w:rPr>
                <w:sz w:val="18"/>
                <w:szCs w:val="18"/>
              </w:rPr>
              <w:t>s les provinces et préfectures du royaume.</w:t>
            </w:r>
          </w:p>
          <w:p w:rsidR="00B80A83" w:rsidRPr="00007778" w:rsidRDefault="00AC5085" w:rsidP="00007778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="Arabic Transparent"/>
                <w:sz w:val="24"/>
                <w:szCs w:val="24"/>
                <w:rtl/>
                <w:lang w:bidi="ar-MA"/>
              </w:rPr>
            </w:pPr>
            <w:r w:rsidRPr="00007778">
              <w:rPr>
                <w:sz w:val="18"/>
                <w:szCs w:val="18"/>
              </w:rPr>
              <w:t xml:space="preserve">comme chaque année, la DRH a pris toutes les dispositions nécessaires (moyens humains, matériels, logistiques et moyens d’information), </w:t>
            </w:r>
            <w:r w:rsidR="00007778" w:rsidRPr="00007778">
              <w:rPr>
                <w:sz w:val="18"/>
                <w:szCs w:val="18"/>
              </w:rPr>
              <w:t>pour une meilleure organisation</w:t>
            </w:r>
            <w:r w:rsidRPr="00007778">
              <w:rPr>
                <w:sz w:val="18"/>
                <w:szCs w:val="18"/>
              </w:rPr>
              <w:t xml:space="preserve"> et une application stricte et rigoureuse </w:t>
            </w:r>
            <w:r w:rsidR="00007778" w:rsidRPr="00007778">
              <w:rPr>
                <w:sz w:val="18"/>
                <w:szCs w:val="18"/>
              </w:rPr>
              <w:t xml:space="preserve">de </w:t>
            </w:r>
            <w:r w:rsidRPr="00007778">
              <w:rPr>
                <w:sz w:val="18"/>
                <w:szCs w:val="18"/>
              </w:rPr>
              <w:t>cette opération.</w:t>
            </w:r>
          </w:p>
        </w:tc>
      </w:tr>
      <w:tr w:rsidR="00B80A83" w:rsidTr="00435CA1">
        <w:trPr>
          <w:cnfStyle w:val="000000100000"/>
          <w:trHeight w:val="877"/>
          <w:jc w:val="center"/>
        </w:trPr>
        <w:tc>
          <w:tcPr>
            <w:cnfStyle w:val="001000000000"/>
            <w:tcW w:w="11116" w:type="dxa"/>
            <w:gridSpan w:val="2"/>
            <w:shd w:val="clear" w:color="auto" w:fill="DBE5F1" w:themeFill="accent1" w:themeFillTint="33"/>
          </w:tcPr>
          <w:p w:rsidR="00012C4B" w:rsidRPr="004C760D" w:rsidRDefault="00012C4B" w:rsidP="00435CA1">
            <w:pPr>
              <w:pStyle w:val="Paragraphedeliste"/>
              <w:numPr>
                <w:ilvl w:val="0"/>
                <w:numId w:val="43"/>
              </w:numPr>
              <w:spacing w:before="0"/>
              <w:jc w:val="both"/>
              <w:rPr>
                <w:sz w:val="20"/>
                <w:szCs w:val="20"/>
              </w:rPr>
            </w:pPr>
            <w:r w:rsidRPr="004C760D">
              <w:rPr>
                <w:sz w:val="20"/>
                <w:szCs w:val="20"/>
              </w:rPr>
              <w:t>Intégration :</w:t>
            </w:r>
          </w:p>
          <w:p w:rsidR="00012C4B" w:rsidRPr="00007778" w:rsidRDefault="00012C4B" w:rsidP="00007778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007778">
              <w:rPr>
                <w:sz w:val="18"/>
                <w:szCs w:val="18"/>
              </w:rPr>
              <w:t xml:space="preserve">73 ingénieurs ont intégré le nouveau statut avec régularisation administrative et financière </w:t>
            </w:r>
            <w:r w:rsidR="00007778">
              <w:rPr>
                <w:sz w:val="18"/>
                <w:szCs w:val="18"/>
              </w:rPr>
              <w:t xml:space="preserve">de </w:t>
            </w:r>
            <w:proofErr w:type="gramStart"/>
            <w:r w:rsidR="00007778">
              <w:rPr>
                <w:sz w:val="18"/>
                <w:szCs w:val="18"/>
              </w:rPr>
              <w:t>leurs situation</w:t>
            </w:r>
            <w:proofErr w:type="gramEnd"/>
            <w:r w:rsidR="00007778">
              <w:rPr>
                <w:sz w:val="18"/>
                <w:szCs w:val="18"/>
              </w:rPr>
              <w:t xml:space="preserve"> et</w:t>
            </w:r>
            <w:r w:rsidRPr="00007778">
              <w:rPr>
                <w:sz w:val="18"/>
                <w:szCs w:val="18"/>
              </w:rPr>
              <w:t xml:space="preserve"> une bonification d’ancienneté. </w:t>
            </w:r>
          </w:p>
          <w:p w:rsidR="00012C4B" w:rsidRPr="00007778" w:rsidRDefault="00012C4B" w:rsidP="00007778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007778">
              <w:rPr>
                <w:sz w:val="18"/>
                <w:szCs w:val="18"/>
              </w:rPr>
              <w:t>77 fonctionnaires ont intégré le nouveau statut en l’occurrence : les administrateurs, les secrétaires, les rédacteurs et les adjoints techniques.</w:t>
            </w:r>
          </w:p>
          <w:p w:rsidR="00B80A83" w:rsidRPr="002D5FD3" w:rsidRDefault="00B80A83" w:rsidP="00BA5D7A">
            <w:pPr>
              <w:pStyle w:val="Retraitcorpsdetexte2"/>
              <w:shd w:val="clear" w:color="auto" w:fill="DBE5F1" w:themeFill="accent1" w:themeFillTint="33"/>
              <w:spacing w:after="0" w:line="360" w:lineRule="auto"/>
              <w:ind w:left="0" w:right="74"/>
              <w:jc w:val="center"/>
              <w:rPr>
                <w:rFonts w:cs="Arabic Transparent"/>
                <w:b w:val="0"/>
                <w:bCs w:val="0"/>
                <w:sz w:val="6"/>
                <w:szCs w:val="8"/>
                <w:lang w:val="fr-FR" w:bidi="ar-MA"/>
              </w:rPr>
            </w:pPr>
          </w:p>
        </w:tc>
      </w:tr>
    </w:tbl>
    <w:p w:rsidR="00324C33" w:rsidRPr="00435CA1" w:rsidRDefault="00324C33" w:rsidP="00B61A7A">
      <w:pPr>
        <w:tabs>
          <w:tab w:val="center" w:pos="7016"/>
          <w:tab w:val="left" w:pos="10572"/>
        </w:tabs>
        <w:spacing w:line="240" w:lineRule="auto"/>
        <w:ind w:left="-1417" w:right="-1417"/>
        <w:jc w:val="center"/>
        <w:rPr>
          <w:b/>
          <w:bCs/>
          <w:color w:val="632423" w:themeColor="accent2" w:themeShade="80"/>
          <w:sz w:val="2"/>
          <w:szCs w:val="2"/>
          <w:lang w:bidi="ar-MA"/>
        </w:rPr>
      </w:pPr>
    </w:p>
    <w:p w:rsidR="00B61A7A" w:rsidRPr="004D1CB9" w:rsidRDefault="00B61A7A" w:rsidP="00B61A7A">
      <w:pPr>
        <w:shd w:val="clear" w:color="auto" w:fill="F2DBDB" w:themeFill="accent2" w:themeFillTint="33"/>
        <w:tabs>
          <w:tab w:val="center" w:pos="7016"/>
          <w:tab w:val="left" w:pos="10572"/>
        </w:tabs>
        <w:spacing w:line="240" w:lineRule="auto"/>
        <w:ind w:left="-1417" w:right="-1417"/>
        <w:jc w:val="center"/>
        <w:rPr>
          <w:b/>
          <w:bCs/>
          <w:color w:val="632423" w:themeColor="accent2" w:themeShade="80"/>
          <w:sz w:val="28"/>
          <w:szCs w:val="28"/>
          <w:lang w:bidi="ar-MA"/>
        </w:rPr>
      </w:pPr>
      <w:r w:rsidRPr="004D1CB9">
        <w:rPr>
          <w:b/>
          <w:bCs/>
          <w:color w:val="632423" w:themeColor="accent2" w:themeShade="80"/>
          <w:sz w:val="28"/>
          <w:szCs w:val="28"/>
          <w:lang w:bidi="ar-MA"/>
        </w:rPr>
        <w:t>Projets de développement et de modernisation du Système de Gestion des Ressources Humaines</w:t>
      </w:r>
    </w:p>
    <w:tbl>
      <w:tblPr>
        <w:tblStyle w:val="Grilledutableau"/>
        <w:bidiVisual/>
        <w:tblW w:w="6000" w:type="pct"/>
        <w:jc w:val="center"/>
        <w:tblLook w:val="04A0"/>
      </w:tblPr>
      <w:tblGrid>
        <w:gridCol w:w="11146"/>
      </w:tblGrid>
      <w:tr w:rsidR="00345FA9" w:rsidTr="002E1C5A">
        <w:trPr>
          <w:trHeight w:val="1888"/>
          <w:jc w:val="center"/>
        </w:trPr>
        <w:tc>
          <w:tcPr>
            <w:tcW w:w="11145" w:type="dxa"/>
            <w:shd w:val="clear" w:color="auto" w:fill="DAEEF3" w:themeFill="accent5" w:themeFillTint="33"/>
          </w:tcPr>
          <w:p w:rsidR="006E01F8" w:rsidRPr="00AF326A" w:rsidRDefault="00007778" w:rsidP="00007778">
            <w:pPr>
              <w:pStyle w:val="Paragraphedeliste"/>
              <w:spacing w:before="0"/>
              <w:ind w:left="0"/>
              <w:rPr>
                <w:rFonts w:cs="Calibri"/>
                <w:b/>
                <w:bCs/>
                <w:color w:val="0000FF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>Mise en place</w:t>
            </w:r>
            <w:r w:rsidR="006E01F8" w:rsidRPr="00AF326A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 xml:space="preserve"> du Référentiel des Emplois et des Compétences (REC)</w:t>
            </w:r>
            <w:r w:rsidR="000C5F64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>,</w:t>
            </w:r>
            <w:r w:rsidR="000C5F64" w:rsidRPr="00007778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 xml:space="preserve"> </w:t>
            </w:r>
            <w:r w:rsidRPr="00007778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 xml:space="preserve">de </w:t>
            </w:r>
            <w:r w:rsidR="000C5F64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>la</w:t>
            </w:r>
            <w:r w:rsidR="000C5F64" w:rsidRPr="000C5F64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 xml:space="preserve"> cartographie des emplois</w:t>
            </w:r>
            <w:r w:rsidR="000C5F64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 xml:space="preserve"> et </w:t>
            </w:r>
            <w:r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>du</w:t>
            </w:r>
            <w:r w:rsidR="000C5F64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 xml:space="preserve"> bilan des compétences</w:t>
            </w:r>
            <w:r w:rsidR="006E01F8" w:rsidRPr="00AF326A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 xml:space="preserve"> du Département de </w:t>
            </w:r>
            <w:r w:rsidR="000C5F64" w:rsidRPr="00AF326A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>l’Emploi</w:t>
            </w:r>
            <w:r w:rsidR="000C5F64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 xml:space="preserve"> (réalisés en 2011).</w:t>
            </w:r>
            <w:r w:rsidR="006E01F8" w:rsidRPr="00AF326A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 xml:space="preserve"> </w:t>
            </w:r>
          </w:p>
          <w:p w:rsidR="006E01F8" w:rsidRPr="0027768D" w:rsidRDefault="006E01F8" w:rsidP="007178AF">
            <w:pPr>
              <w:pStyle w:val="Paragraphedeliste"/>
              <w:bidi/>
              <w:spacing w:before="0"/>
              <w:ind w:left="0"/>
              <w:jc w:val="right"/>
              <w:rPr>
                <w:rFonts w:cs="Arial"/>
                <w:b/>
                <w:bCs/>
                <w:snapToGrid w:val="0"/>
                <w:color w:val="984806" w:themeColor="accent6" w:themeShade="80"/>
                <w:sz w:val="20"/>
                <w:szCs w:val="20"/>
                <w:lang w:val="fr-FR" w:eastAsia="ar-MA"/>
              </w:rPr>
            </w:pPr>
            <w:r w:rsidRPr="0027768D">
              <w:rPr>
                <w:rFonts w:ascii="Calibri" w:eastAsia="Times New Roman" w:hAnsi="Calibri" w:cs="Arial"/>
                <w:b/>
                <w:bCs/>
                <w:snapToGrid w:val="0"/>
                <w:color w:val="984806" w:themeColor="accent6" w:themeShade="80"/>
                <w:sz w:val="20"/>
                <w:szCs w:val="20"/>
                <w:u w:val="single"/>
                <w:lang w:val="fr-FR" w:eastAsia="ar-MA"/>
              </w:rPr>
              <w:t>Objectif</w:t>
            </w:r>
            <w:r w:rsidR="007374D5" w:rsidRPr="0027768D">
              <w:rPr>
                <w:rFonts w:ascii="Calibri" w:eastAsia="Times New Roman" w:hAnsi="Calibri" w:cs="Arial"/>
                <w:b/>
                <w:bCs/>
                <w:snapToGrid w:val="0"/>
                <w:color w:val="984806" w:themeColor="accent6" w:themeShade="80"/>
                <w:sz w:val="20"/>
                <w:szCs w:val="20"/>
                <w:u w:val="single"/>
                <w:lang w:val="fr-FR" w:eastAsia="ar-MA"/>
              </w:rPr>
              <w:t>s</w:t>
            </w:r>
            <w:r w:rsidRPr="0027768D">
              <w:rPr>
                <w:rFonts w:cs="Arial"/>
                <w:b/>
                <w:bCs/>
                <w:snapToGrid w:val="0"/>
                <w:color w:val="984806" w:themeColor="accent6" w:themeShade="80"/>
                <w:sz w:val="20"/>
                <w:szCs w:val="20"/>
                <w:lang w:val="fr-FR" w:eastAsia="ar-MA"/>
              </w:rPr>
              <w:t> :</w:t>
            </w:r>
          </w:p>
          <w:p w:rsidR="006E01F8" w:rsidRPr="00431644" w:rsidRDefault="006E01F8" w:rsidP="00007778">
            <w:pPr>
              <w:ind w:left="362" w:hanging="142"/>
              <w:jc w:val="both"/>
              <w:rPr>
                <w:b/>
                <w:sz w:val="18"/>
                <w:szCs w:val="18"/>
                <w:lang w:val="fr-FR"/>
              </w:rPr>
            </w:pPr>
            <w:r w:rsidRPr="00431644">
              <w:rPr>
                <w:b/>
                <w:sz w:val="18"/>
                <w:szCs w:val="18"/>
                <w:lang w:val="fr-FR"/>
              </w:rPr>
              <w:t>-</w:t>
            </w:r>
            <w:r w:rsidR="00007778">
              <w:rPr>
                <w:b/>
                <w:sz w:val="18"/>
                <w:szCs w:val="18"/>
                <w:lang w:val="fr-FR"/>
              </w:rPr>
              <w:t xml:space="preserve"> Elaborer un</w:t>
            </w:r>
            <w:r w:rsidRPr="00431644">
              <w:rPr>
                <w:b/>
                <w:sz w:val="18"/>
                <w:szCs w:val="18"/>
                <w:lang w:val="fr-FR"/>
              </w:rPr>
              <w:t xml:space="preserve"> Référentiel opérationnel des emplois et </w:t>
            </w:r>
            <w:r w:rsidR="00007778">
              <w:rPr>
                <w:b/>
                <w:sz w:val="18"/>
                <w:szCs w:val="18"/>
                <w:lang w:val="fr-FR"/>
              </w:rPr>
              <w:t>des compétences comportant une</w:t>
            </w:r>
            <w:r w:rsidRPr="00431644">
              <w:rPr>
                <w:b/>
                <w:sz w:val="18"/>
                <w:szCs w:val="18"/>
                <w:lang w:val="fr-FR"/>
              </w:rPr>
              <w:t xml:space="preserve"> nomenclature structurée en catégorie et domaines professionnelles et en fiches emplois métiers.</w:t>
            </w:r>
          </w:p>
          <w:p w:rsidR="006E01F8" w:rsidRPr="00431644" w:rsidRDefault="006E01F8" w:rsidP="00007778">
            <w:pPr>
              <w:ind w:left="362" w:hanging="142"/>
              <w:jc w:val="both"/>
              <w:rPr>
                <w:b/>
                <w:sz w:val="18"/>
                <w:szCs w:val="18"/>
                <w:lang w:val="fr-FR"/>
              </w:rPr>
            </w:pPr>
            <w:r w:rsidRPr="00431644">
              <w:rPr>
                <w:b/>
                <w:sz w:val="18"/>
                <w:szCs w:val="18"/>
                <w:lang w:val="fr-FR"/>
              </w:rPr>
              <w:t>-</w:t>
            </w:r>
            <w:r w:rsidR="00007778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431644">
              <w:rPr>
                <w:b/>
                <w:sz w:val="18"/>
                <w:szCs w:val="18"/>
                <w:lang w:val="fr-FR"/>
              </w:rPr>
              <w:t>Disposer d’un outil de pilotage de la politique des ressources humaines.</w:t>
            </w:r>
          </w:p>
          <w:p w:rsidR="006E01F8" w:rsidRPr="00431644" w:rsidRDefault="006E01F8" w:rsidP="002B547C">
            <w:pPr>
              <w:ind w:left="362" w:hanging="142"/>
              <w:jc w:val="both"/>
              <w:rPr>
                <w:b/>
                <w:sz w:val="18"/>
                <w:szCs w:val="18"/>
                <w:lang w:val="fr-FR"/>
              </w:rPr>
            </w:pPr>
            <w:r w:rsidRPr="00431644">
              <w:rPr>
                <w:b/>
                <w:sz w:val="18"/>
                <w:szCs w:val="18"/>
                <w:lang w:val="fr-FR"/>
              </w:rPr>
              <w:t>-</w:t>
            </w:r>
            <w:r w:rsidR="00007778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431644">
              <w:rPr>
                <w:b/>
                <w:sz w:val="18"/>
                <w:szCs w:val="18"/>
                <w:lang w:val="fr-FR"/>
              </w:rPr>
              <w:t>Disposer d’outils opérationnels pour maît</w:t>
            </w:r>
            <w:r w:rsidR="002B547C">
              <w:rPr>
                <w:b/>
                <w:sz w:val="18"/>
                <w:szCs w:val="18"/>
                <w:lang w:val="fr-FR"/>
              </w:rPr>
              <w:t>riser et gérer les Effectifs, identifier les emplois, le</w:t>
            </w:r>
            <w:r w:rsidRPr="00431644">
              <w:rPr>
                <w:b/>
                <w:sz w:val="18"/>
                <w:szCs w:val="18"/>
                <w:lang w:val="fr-FR"/>
              </w:rPr>
              <w:t>s</w:t>
            </w:r>
            <w:r w:rsidR="002B547C">
              <w:rPr>
                <w:b/>
                <w:sz w:val="18"/>
                <w:szCs w:val="18"/>
                <w:lang w:val="fr-FR"/>
              </w:rPr>
              <w:t xml:space="preserve"> compétences et les besoins en formation et </w:t>
            </w:r>
            <w:r w:rsidRPr="00431644">
              <w:rPr>
                <w:b/>
                <w:sz w:val="18"/>
                <w:szCs w:val="18"/>
                <w:lang w:val="fr-FR"/>
              </w:rPr>
              <w:t>aide</w:t>
            </w:r>
            <w:r w:rsidR="002B547C">
              <w:rPr>
                <w:b/>
                <w:sz w:val="18"/>
                <w:szCs w:val="18"/>
                <w:lang w:val="fr-FR"/>
              </w:rPr>
              <w:t>r</w:t>
            </w:r>
            <w:r w:rsidRPr="00431644">
              <w:rPr>
                <w:b/>
                <w:sz w:val="18"/>
                <w:szCs w:val="18"/>
                <w:lang w:val="fr-FR"/>
              </w:rPr>
              <w:t xml:space="preserve"> à la décision.</w:t>
            </w:r>
          </w:p>
          <w:p w:rsidR="006E01F8" w:rsidRPr="00431644" w:rsidRDefault="006E01F8" w:rsidP="00007778">
            <w:pPr>
              <w:ind w:left="362" w:hanging="142"/>
              <w:jc w:val="both"/>
              <w:rPr>
                <w:b/>
                <w:sz w:val="18"/>
                <w:szCs w:val="18"/>
                <w:lang w:val="fr-FR"/>
              </w:rPr>
            </w:pPr>
            <w:r w:rsidRPr="00431644">
              <w:rPr>
                <w:b/>
                <w:sz w:val="18"/>
                <w:szCs w:val="18"/>
                <w:lang w:val="fr-FR"/>
              </w:rPr>
              <w:t>-</w:t>
            </w:r>
            <w:r w:rsidR="00007778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431644">
              <w:rPr>
                <w:b/>
                <w:sz w:val="18"/>
                <w:szCs w:val="18"/>
                <w:lang w:val="fr-FR"/>
              </w:rPr>
              <w:t>Mettre en place les outils d’orientation, de suivis</w:t>
            </w:r>
            <w:r w:rsidR="002B547C">
              <w:rPr>
                <w:b/>
                <w:sz w:val="18"/>
                <w:szCs w:val="18"/>
                <w:lang w:val="fr-FR"/>
              </w:rPr>
              <w:t xml:space="preserve"> et</w:t>
            </w:r>
            <w:r w:rsidRPr="00431644">
              <w:rPr>
                <w:b/>
                <w:sz w:val="18"/>
                <w:szCs w:val="18"/>
                <w:lang w:val="fr-FR"/>
              </w:rPr>
              <w:t xml:space="preserve"> de déve</w:t>
            </w:r>
            <w:r w:rsidR="002B547C">
              <w:rPr>
                <w:b/>
                <w:sz w:val="18"/>
                <w:szCs w:val="18"/>
                <w:lang w:val="fr-FR"/>
              </w:rPr>
              <w:t>loppement des emplois types et d</w:t>
            </w:r>
            <w:r w:rsidRPr="00431644">
              <w:rPr>
                <w:b/>
                <w:sz w:val="18"/>
                <w:szCs w:val="18"/>
                <w:lang w:val="fr-FR"/>
              </w:rPr>
              <w:t xml:space="preserve">es métiers de l’Administration. </w:t>
            </w:r>
          </w:p>
          <w:p w:rsidR="00435CA1" w:rsidRPr="000C5F64" w:rsidRDefault="00007778" w:rsidP="00007778">
            <w:pPr>
              <w:ind w:left="362" w:hanging="142"/>
              <w:jc w:val="both"/>
              <w:rPr>
                <w:b/>
                <w:sz w:val="18"/>
                <w:szCs w:val="18"/>
                <w:rtl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- </w:t>
            </w:r>
            <w:r w:rsidR="006E01F8" w:rsidRPr="00431644">
              <w:rPr>
                <w:b/>
                <w:sz w:val="18"/>
                <w:szCs w:val="18"/>
                <w:lang w:val="fr-FR"/>
              </w:rPr>
              <w:t>Mettre en place les bases pour une Gestion Prévisionnelle des Emplois et des Compétences et des RH (GPEEC).</w:t>
            </w:r>
          </w:p>
        </w:tc>
      </w:tr>
      <w:tr w:rsidR="00345FA9" w:rsidTr="002E1C5A">
        <w:trPr>
          <w:trHeight w:val="1958"/>
          <w:jc w:val="center"/>
        </w:trPr>
        <w:tc>
          <w:tcPr>
            <w:tcW w:w="11145" w:type="dxa"/>
            <w:shd w:val="clear" w:color="auto" w:fill="DBE5F1" w:themeFill="accent1" w:themeFillTint="33"/>
          </w:tcPr>
          <w:p w:rsidR="009C514D" w:rsidRPr="009C514D" w:rsidRDefault="004C7ECB" w:rsidP="002B547C">
            <w:pPr>
              <w:pStyle w:val="Retraitcorpsdetexte"/>
              <w:spacing w:after="0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</w:pPr>
            <w:r w:rsidRPr="004C7ECB">
              <w:rPr>
                <w:rFonts w:ascii="Calibri" w:eastAsia="Calibri" w:hAnsi="Calibri" w:cs="Arial"/>
                <w:b/>
                <w:bCs/>
                <w:snapToGrid w:val="0"/>
                <w:lang w:val="fr-FR" w:eastAsia="ar-MA"/>
              </w:rPr>
              <w:t xml:space="preserve"> </w:t>
            </w:r>
            <w:r w:rsidR="002B547C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>Mise en place</w:t>
            </w:r>
            <w:r w:rsidR="009C514D" w:rsidRPr="00AF326A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 xml:space="preserve"> du Système de Gestion Prévisionnelle des Emplois, des Compétences et des Ressources Humaines du Département de l’Emploi  -GPEEC- </w:t>
            </w:r>
            <w:r w:rsidR="009C514D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>(En cours de réalisation).</w:t>
            </w:r>
          </w:p>
          <w:p w:rsidR="009C514D" w:rsidRPr="0027768D" w:rsidRDefault="009C514D" w:rsidP="009C514D">
            <w:pPr>
              <w:pStyle w:val="Paragraphedeliste"/>
              <w:bidi/>
              <w:spacing w:before="0"/>
              <w:ind w:left="0"/>
              <w:jc w:val="right"/>
              <w:rPr>
                <w:rFonts w:cs="Arial"/>
                <w:b/>
                <w:bCs/>
                <w:snapToGrid w:val="0"/>
                <w:color w:val="984806" w:themeColor="accent6" w:themeShade="80"/>
                <w:sz w:val="28"/>
                <w:szCs w:val="28"/>
                <w:u w:val="single"/>
                <w:lang w:val="fr-FR" w:eastAsia="ar-MA"/>
              </w:rPr>
            </w:pPr>
            <w:r w:rsidRPr="0027768D">
              <w:rPr>
                <w:rFonts w:ascii="Calibri" w:eastAsia="Times New Roman" w:hAnsi="Calibri" w:cs="Arial"/>
                <w:b/>
                <w:bCs/>
                <w:snapToGrid w:val="0"/>
                <w:color w:val="984806" w:themeColor="accent6" w:themeShade="80"/>
                <w:sz w:val="20"/>
                <w:szCs w:val="20"/>
                <w:u w:val="single"/>
                <w:lang w:val="fr-FR" w:eastAsia="ar-MA"/>
              </w:rPr>
              <w:t>Objectifs </w:t>
            </w:r>
            <w:r w:rsidRPr="0027768D">
              <w:rPr>
                <w:rFonts w:cs="Arial"/>
                <w:b/>
                <w:bCs/>
                <w:snapToGrid w:val="0"/>
                <w:color w:val="984806" w:themeColor="accent6" w:themeShade="80"/>
                <w:sz w:val="28"/>
                <w:szCs w:val="28"/>
                <w:u w:val="single"/>
                <w:lang w:val="fr-FR" w:eastAsia="ar-MA"/>
              </w:rPr>
              <w:t xml:space="preserve">: </w:t>
            </w:r>
          </w:p>
          <w:p w:rsidR="009C514D" w:rsidRPr="00AC599C" w:rsidRDefault="009C514D" w:rsidP="002B547C">
            <w:pPr>
              <w:ind w:left="362" w:hanging="142"/>
              <w:jc w:val="both"/>
              <w:rPr>
                <w:b/>
                <w:sz w:val="18"/>
                <w:szCs w:val="18"/>
                <w:rtl/>
                <w:lang w:val="fr-FR"/>
              </w:rPr>
            </w:pPr>
            <w:r w:rsidRPr="00AC599C">
              <w:rPr>
                <w:b/>
                <w:sz w:val="18"/>
                <w:szCs w:val="18"/>
                <w:lang w:val="fr-FR"/>
              </w:rPr>
              <w:t>-</w:t>
            </w:r>
            <w:r w:rsidR="002B547C">
              <w:rPr>
                <w:b/>
                <w:sz w:val="18"/>
                <w:szCs w:val="18"/>
                <w:lang w:val="fr-FR"/>
              </w:rPr>
              <w:t xml:space="preserve"> Evaluer et classifier l</w:t>
            </w:r>
            <w:r w:rsidRPr="00AC599C">
              <w:rPr>
                <w:b/>
                <w:sz w:val="18"/>
                <w:szCs w:val="18"/>
                <w:lang w:val="fr-FR"/>
              </w:rPr>
              <w:t xml:space="preserve">es emplois.  </w:t>
            </w:r>
          </w:p>
          <w:p w:rsidR="009C514D" w:rsidRPr="00AC599C" w:rsidRDefault="009C514D" w:rsidP="002B547C">
            <w:pPr>
              <w:ind w:left="362" w:hanging="142"/>
              <w:jc w:val="both"/>
              <w:rPr>
                <w:b/>
                <w:sz w:val="18"/>
                <w:szCs w:val="18"/>
                <w:lang w:val="fr-FR"/>
              </w:rPr>
            </w:pPr>
            <w:r w:rsidRPr="00AC599C">
              <w:rPr>
                <w:b/>
                <w:sz w:val="18"/>
                <w:szCs w:val="18"/>
                <w:lang w:val="fr-FR"/>
              </w:rPr>
              <w:t>-</w:t>
            </w:r>
            <w:r w:rsidR="002B547C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AC599C">
              <w:rPr>
                <w:b/>
                <w:sz w:val="18"/>
                <w:szCs w:val="18"/>
                <w:lang w:val="fr-FR"/>
              </w:rPr>
              <w:t xml:space="preserve">Disposer d’une nomenclature d’emplois, classée par famille professionnelles puis par groupes et par domaine fonctionnel. </w:t>
            </w:r>
          </w:p>
          <w:p w:rsidR="009C514D" w:rsidRPr="00AC599C" w:rsidRDefault="009C514D" w:rsidP="002B547C">
            <w:pPr>
              <w:ind w:left="362" w:hanging="142"/>
              <w:jc w:val="both"/>
              <w:rPr>
                <w:b/>
                <w:sz w:val="18"/>
                <w:szCs w:val="18"/>
                <w:lang w:val="fr-FR"/>
              </w:rPr>
            </w:pPr>
            <w:r w:rsidRPr="00AC599C">
              <w:rPr>
                <w:b/>
                <w:sz w:val="18"/>
                <w:szCs w:val="18"/>
                <w:lang w:val="fr-FR"/>
              </w:rPr>
              <w:t>-</w:t>
            </w:r>
            <w:r w:rsidR="002B547C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AC599C">
              <w:rPr>
                <w:b/>
                <w:sz w:val="18"/>
                <w:szCs w:val="18"/>
                <w:lang w:val="fr-FR"/>
              </w:rPr>
              <w:t xml:space="preserve">Disposer d’outils statistiques ou de projection notamment relative à l’évolution des missions et des compétences nécessaires afin de garantir l’efficacité de l’administration, d’éclairer les décisions et d’optimiser la gestion des ressources humaines. </w:t>
            </w:r>
          </w:p>
          <w:p w:rsidR="009C514D" w:rsidRPr="00AC599C" w:rsidRDefault="009C514D" w:rsidP="002B547C">
            <w:pPr>
              <w:ind w:left="362" w:hanging="142"/>
              <w:jc w:val="both"/>
              <w:rPr>
                <w:b/>
                <w:sz w:val="18"/>
                <w:szCs w:val="18"/>
                <w:lang w:val="fr-FR"/>
              </w:rPr>
            </w:pPr>
            <w:r w:rsidRPr="00AC599C">
              <w:rPr>
                <w:b/>
                <w:sz w:val="18"/>
                <w:szCs w:val="18"/>
                <w:lang w:val="fr-FR"/>
              </w:rPr>
              <w:t>-</w:t>
            </w:r>
            <w:r w:rsidR="002B547C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AC599C">
              <w:rPr>
                <w:b/>
                <w:sz w:val="18"/>
                <w:szCs w:val="18"/>
                <w:lang w:val="fr-FR"/>
              </w:rPr>
              <w:t xml:space="preserve">Disposer d’un système pouvant maintenir les compétences des agents de l’administration nécessaires à la bonne marche des services publics. </w:t>
            </w:r>
          </w:p>
          <w:p w:rsidR="009C514D" w:rsidRPr="00AC599C" w:rsidRDefault="009C514D" w:rsidP="002B547C">
            <w:pPr>
              <w:ind w:left="362" w:hanging="142"/>
              <w:jc w:val="both"/>
              <w:rPr>
                <w:b/>
                <w:sz w:val="18"/>
                <w:szCs w:val="18"/>
                <w:lang w:val="fr-FR"/>
              </w:rPr>
            </w:pPr>
            <w:r w:rsidRPr="00AC599C">
              <w:rPr>
                <w:b/>
                <w:sz w:val="18"/>
                <w:szCs w:val="18"/>
                <w:lang w:val="fr-FR"/>
              </w:rPr>
              <w:t>-</w:t>
            </w:r>
            <w:r w:rsidR="002B547C">
              <w:rPr>
                <w:b/>
                <w:sz w:val="18"/>
                <w:szCs w:val="18"/>
                <w:lang w:val="fr-FR"/>
              </w:rPr>
              <w:t xml:space="preserve"> Disposer des </w:t>
            </w:r>
            <w:r w:rsidRPr="00AC599C">
              <w:rPr>
                <w:b/>
                <w:sz w:val="18"/>
                <w:szCs w:val="18"/>
                <w:lang w:val="fr-FR"/>
              </w:rPr>
              <w:t>outils permettant l’élaboration des plans de formation ciblés, afin de valoriser et de mettre à niveau les compétences des fonctionnaires de ce Département.</w:t>
            </w:r>
          </w:p>
          <w:p w:rsidR="00345FA9" w:rsidRPr="004C7ECB" w:rsidRDefault="009C514D" w:rsidP="002B547C">
            <w:pPr>
              <w:ind w:left="362" w:hanging="142"/>
              <w:jc w:val="both"/>
              <w:rPr>
                <w:rFonts w:cs="Arial"/>
                <w:b/>
                <w:bCs/>
                <w:snapToGrid w:val="0"/>
                <w:sz w:val="24"/>
                <w:szCs w:val="24"/>
                <w:rtl/>
                <w:lang w:val="fr-FR" w:eastAsia="ar-MA" w:bidi="ar-MA"/>
              </w:rPr>
            </w:pPr>
            <w:r w:rsidRPr="00AC599C">
              <w:rPr>
                <w:b/>
                <w:sz w:val="18"/>
                <w:szCs w:val="18"/>
                <w:lang w:val="fr-FR"/>
              </w:rPr>
              <w:t>-</w:t>
            </w:r>
            <w:r w:rsidR="002B547C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AC599C">
              <w:rPr>
                <w:b/>
                <w:sz w:val="18"/>
                <w:szCs w:val="18"/>
                <w:lang w:val="fr-FR"/>
              </w:rPr>
              <w:t>Doter l’administrat</w:t>
            </w:r>
            <w:r w:rsidR="002B547C">
              <w:rPr>
                <w:b/>
                <w:sz w:val="18"/>
                <w:szCs w:val="18"/>
                <w:lang w:val="fr-FR"/>
              </w:rPr>
              <w:t>ion d’un schéma Directeur et de</w:t>
            </w:r>
            <w:r w:rsidRPr="00AC599C">
              <w:rPr>
                <w:b/>
                <w:sz w:val="18"/>
                <w:szCs w:val="18"/>
                <w:lang w:val="fr-FR"/>
              </w:rPr>
              <w:t xml:space="preserve"> plans de formation Ministériel adaptés aux besoins et objectifs de ce Département.</w:t>
            </w:r>
          </w:p>
        </w:tc>
      </w:tr>
      <w:tr w:rsidR="00345FA9" w:rsidTr="00435CA1">
        <w:trPr>
          <w:trHeight w:val="70"/>
          <w:jc w:val="center"/>
        </w:trPr>
        <w:tc>
          <w:tcPr>
            <w:tcW w:w="11145" w:type="dxa"/>
            <w:shd w:val="clear" w:color="auto" w:fill="DAEEF3" w:themeFill="accent5" w:themeFillTint="33"/>
          </w:tcPr>
          <w:p w:rsidR="009C514D" w:rsidRPr="00AF326A" w:rsidRDefault="009C514D" w:rsidP="009C514D">
            <w:pPr>
              <w:pStyle w:val="Retraitcorpsdetexte"/>
              <w:spacing w:after="0"/>
              <w:ind w:left="0"/>
              <w:jc w:val="both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</w:pPr>
            <w:r w:rsidRPr="00AF326A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 xml:space="preserve">Mise en place d’un Système d’Information Intégré de Gestion des Ressources </w:t>
            </w:r>
            <w:r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>Humaines du département de l’Emploi</w:t>
            </w:r>
            <w:r w:rsidR="002B547C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val="fr-FR"/>
              </w:rPr>
              <w:t>(En cours de réalisation).</w:t>
            </w:r>
          </w:p>
          <w:p w:rsidR="009C514D" w:rsidRDefault="009C514D" w:rsidP="009C514D">
            <w:pPr>
              <w:pStyle w:val="Retraitcorpsdetexte"/>
              <w:spacing w:after="0"/>
              <w:ind w:left="0"/>
              <w:jc w:val="both"/>
              <w:rPr>
                <w:rFonts w:cs="Arial"/>
                <w:b/>
                <w:bCs/>
                <w:snapToGrid w:val="0"/>
                <w:color w:val="C0504D" w:themeColor="accent2"/>
                <w:sz w:val="24"/>
                <w:szCs w:val="24"/>
                <w:lang w:val="fr-FR" w:eastAsia="ar-MA"/>
              </w:rPr>
            </w:pPr>
            <w:r w:rsidRPr="0027768D">
              <w:rPr>
                <w:rFonts w:ascii="Calibri" w:eastAsia="Times New Roman" w:hAnsi="Calibri" w:cs="Arial"/>
                <w:b/>
                <w:bCs/>
                <w:snapToGrid w:val="0"/>
                <w:color w:val="984806" w:themeColor="accent6" w:themeShade="80"/>
                <w:sz w:val="20"/>
                <w:szCs w:val="20"/>
                <w:u w:val="single"/>
                <w:lang w:val="fr-FR" w:eastAsia="ar-MA"/>
              </w:rPr>
              <w:t>Objectifs</w:t>
            </w:r>
            <w:r>
              <w:rPr>
                <w:rFonts w:ascii="Calibri" w:eastAsia="Times New Roman" w:hAnsi="Calibri" w:cs="Arial"/>
                <w:b/>
                <w:bCs/>
                <w:snapToGrid w:val="0"/>
                <w:color w:val="C0504D"/>
                <w:sz w:val="20"/>
                <w:szCs w:val="20"/>
                <w:lang w:val="fr-FR" w:eastAsia="ar-MA"/>
              </w:rPr>
              <w:t> :</w:t>
            </w:r>
            <w:r w:rsidRPr="004C7ECB">
              <w:rPr>
                <w:rFonts w:cs="Arial"/>
                <w:b/>
                <w:bCs/>
                <w:snapToGrid w:val="0"/>
                <w:color w:val="C0504D" w:themeColor="accent2"/>
                <w:sz w:val="24"/>
                <w:szCs w:val="24"/>
                <w:lang w:val="fr-FR" w:eastAsia="ar-MA"/>
              </w:rPr>
              <w:t> </w:t>
            </w:r>
          </w:p>
          <w:p w:rsidR="009C514D" w:rsidRPr="00301B68" w:rsidRDefault="009C514D" w:rsidP="00265342">
            <w:pPr>
              <w:ind w:left="362" w:hanging="142"/>
              <w:jc w:val="both"/>
              <w:rPr>
                <w:b/>
                <w:sz w:val="18"/>
                <w:szCs w:val="18"/>
                <w:lang w:val="fr-FR"/>
              </w:rPr>
            </w:pPr>
            <w:r w:rsidRPr="00301B68">
              <w:rPr>
                <w:b/>
                <w:sz w:val="18"/>
                <w:szCs w:val="18"/>
                <w:lang w:val="fr-FR"/>
              </w:rPr>
              <w:t>-</w:t>
            </w:r>
            <w:r w:rsidR="00265342">
              <w:rPr>
                <w:b/>
                <w:sz w:val="18"/>
                <w:szCs w:val="18"/>
                <w:lang w:val="fr-FR"/>
              </w:rPr>
              <w:t xml:space="preserve"> Développer</w:t>
            </w:r>
            <w:r w:rsidR="002B547C">
              <w:rPr>
                <w:b/>
                <w:sz w:val="18"/>
                <w:szCs w:val="18"/>
                <w:lang w:val="fr-FR"/>
              </w:rPr>
              <w:t xml:space="preserve"> l</w:t>
            </w:r>
            <w:r w:rsidRPr="00301B68">
              <w:rPr>
                <w:b/>
                <w:sz w:val="18"/>
                <w:szCs w:val="18"/>
                <w:lang w:val="fr-FR"/>
              </w:rPr>
              <w:t>es perfor</w:t>
            </w:r>
            <w:r w:rsidR="002B547C">
              <w:rPr>
                <w:b/>
                <w:sz w:val="18"/>
                <w:szCs w:val="18"/>
                <w:lang w:val="fr-FR"/>
              </w:rPr>
              <w:t xml:space="preserve">mances de l’administration et améliorer </w:t>
            </w:r>
            <w:r w:rsidRPr="00301B68">
              <w:rPr>
                <w:b/>
                <w:sz w:val="18"/>
                <w:szCs w:val="18"/>
                <w:lang w:val="fr-FR"/>
              </w:rPr>
              <w:t>la qualité du service public.</w:t>
            </w:r>
          </w:p>
          <w:p w:rsidR="009C514D" w:rsidRPr="00301B68" w:rsidRDefault="009C514D" w:rsidP="00265342">
            <w:pPr>
              <w:ind w:left="362" w:hanging="142"/>
              <w:jc w:val="both"/>
              <w:rPr>
                <w:b/>
                <w:sz w:val="18"/>
                <w:szCs w:val="18"/>
                <w:lang w:val="fr-FR"/>
              </w:rPr>
            </w:pPr>
            <w:r w:rsidRPr="00301B68">
              <w:rPr>
                <w:b/>
                <w:sz w:val="18"/>
                <w:szCs w:val="18"/>
                <w:lang w:val="fr-FR"/>
              </w:rPr>
              <w:t>-</w:t>
            </w:r>
            <w:r w:rsidR="00265342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301B68">
              <w:rPr>
                <w:b/>
                <w:sz w:val="18"/>
                <w:szCs w:val="18"/>
                <w:lang w:val="fr-FR"/>
              </w:rPr>
              <w:t>Mettre en place un système de Gestion stratégique et prévisionnelle basé sur la maîtrise des emplois et des compétences.</w:t>
            </w:r>
          </w:p>
          <w:p w:rsidR="009C514D" w:rsidRPr="00301B68" w:rsidRDefault="009C514D" w:rsidP="00265342">
            <w:pPr>
              <w:ind w:left="362" w:hanging="142"/>
              <w:jc w:val="both"/>
              <w:rPr>
                <w:b/>
                <w:sz w:val="18"/>
                <w:szCs w:val="18"/>
                <w:lang w:val="fr-FR"/>
              </w:rPr>
            </w:pPr>
            <w:r w:rsidRPr="00301B68">
              <w:rPr>
                <w:b/>
                <w:sz w:val="18"/>
                <w:szCs w:val="18"/>
                <w:lang w:val="fr-FR"/>
              </w:rPr>
              <w:t>-</w:t>
            </w:r>
            <w:r w:rsidR="00265342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301B68">
              <w:rPr>
                <w:b/>
                <w:sz w:val="18"/>
                <w:szCs w:val="18"/>
                <w:lang w:val="fr-FR"/>
              </w:rPr>
              <w:t>Mettre en place le dispositif de pilotage, d’ajustement et de mise en œuvre du plan de la GPRH.</w:t>
            </w:r>
          </w:p>
          <w:p w:rsidR="009C514D" w:rsidRPr="00301B68" w:rsidRDefault="009C514D" w:rsidP="00265342">
            <w:pPr>
              <w:ind w:left="362" w:hanging="142"/>
              <w:jc w:val="both"/>
              <w:rPr>
                <w:b/>
                <w:sz w:val="18"/>
                <w:szCs w:val="18"/>
                <w:lang w:val="fr-FR"/>
              </w:rPr>
            </w:pPr>
            <w:r w:rsidRPr="00301B68">
              <w:rPr>
                <w:b/>
                <w:sz w:val="18"/>
                <w:szCs w:val="18"/>
                <w:lang w:val="fr-FR"/>
              </w:rPr>
              <w:t>-</w:t>
            </w:r>
            <w:r w:rsidR="00265342">
              <w:rPr>
                <w:b/>
                <w:sz w:val="18"/>
                <w:szCs w:val="18"/>
                <w:lang w:val="fr-FR"/>
              </w:rPr>
              <w:t xml:space="preserve"> Développer</w:t>
            </w:r>
            <w:r w:rsidRPr="00301B68">
              <w:rPr>
                <w:b/>
                <w:sz w:val="18"/>
                <w:szCs w:val="18"/>
                <w:lang w:val="fr-FR"/>
              </w:rPr>
              <w:t xml:space="preserve"> </w:t>
            </w:r>
            <w:r w:rsidR="00265342">
              <w:rPr>
                <w:b/>
                <w:sz w:val="18"/>
                <w:szCs w:val="18"/>
                <w:lang w:val="fr-FR"/>
              </w:rPr>
              <w:t>la mise à niveau du</w:t>
            </w:r>
            <w:r w:rsidRPr="00301B68">
              <w:rPr>
                <w:b/>
                <w:sz w:val="18"/>
                <w:szCs w:val="18"/>
                <w:lang w:val="fr-FR"/>
              </w:rPr>
              <w:t xml:space="preserve"> système de Gestion administrative et statutaire du Personnel (GAP).</w:t>
            </w:r>
          </w:p>
          <w:p w:rsidR="009C514D" w:rsidRPr="00301B68" w:rsidRDefault="009C514D" w:rsidP="00265342">
            <w:pPr>
              <w:ind w:left="362" w:hanging="142"/>
              <w:jc w:val="both"/>
              <w:rPr>
                <w:b/>
                <w:sz w:val="18"/>
                <w:szCs w:val="18"/>
                <w:lang w:val="fr-FR"/>
              </w:rPr>
            </w:pPr>
            <w:r w:rsidRPr="00301B68">
              <w:rPr>
                <w:b/>
                <w:sz w:val="18"/>
                <w:szCs w:val="18"/>
                <w:lang w:val="fr-FR"/>
              </w:rPr>
              <w:t>-</w:t>
            </w:r>
            <w:r w:rsidR="00265342">
              <w:rPr>
                <w:b/>
                <w:sz w:val="18"/>
                <w:szCs w:val="18"/>
                <w:lang w:val="fr-FR"/>
              </w:rPr>
              <w:t xml:space="preserve"> </w:t>
            </w:r>
            <w:r w:rsidRPr="00301B68">
              <w:rPr>
                <w:b/>
                <w:sz w:val="18"/>
                <w:szCs w:val="18"/>
                <w:lang w:val="fr-FR"/>
              </w:rPr>
              <w:t>Mettre en place un système de Gestion complète et optimisée du processus de la Formation (Plan de Formation, pilotage,…).</w:t>
            </w:r>
          </w:p>
          <w:p w:rsidR="00345FA9" w:rsidRPr="009C514D" w:rsidRDefault="009C514D" w:rsidP="00265342">
            <w:pPr>
              <w:ind w:left="362" w:hanging="142"/>
              <w:jc w:val="both"/>
              <w:rPr>
                <w:rFonts w:ascii="Calibri" w:eastAsia="Times New Roman" w:hAnsi="Calibri" w:cs="Calibri"/>
                <w:b/>
                <w:bCs/>
                <w:color w:val="0000FF"/>
                <w:sz w:val="24"/>
                <w:szCs w:val="24"/>
                <w:rtl/>
                <w:lang w:val="fr-FR"/>
              </w:rPr>
            </w:pPr>
            <w:r w:rsidRPr="00301B68">
              <w:rPr>
                <w:b/>
                <w:sz w:val="18"/>
                <w:szCs w:val="18"/>
                <w:lang w:val="fr-FR"/>
              </w:rPr>
              <w:t>-</w:t>
            </w:r>
            <w:r w:rsidR="00265342">
              <w:rPr>
                <w:b/>
                <w:sz w:val="18"/>
                <w:szCs w:val="18"/>
                <w:lang w:val="fr-FR"/>
              </w:rPr>
              <w:t xml:space="preserve"> Renforcer les infrastructures t</w:t>
            </w:r>
            <w:r w:rsidRPr="00301B68">
              <w:rPr>
                <w:b/>
                <w:sz w:val="18"/>
                <w:szCs w:val="18"/>
                <w:lang w:val="fr-FR"/>
              </w:rPr>
              <w:t>echnologiques afin de moderniser la gestion de la fonction Ressources Humaines et de développer la stratégie de l’administration numérique.</w:t>
            </w:r>
          </w:p>
        </w:tc>
      </w:tr>
    </w:tbl>
    <w:p w:rsidR="00265342" w:rsidRDefault="00265342" w:rsidP="0050584A">
      <w:pPr>
        <w:shd w:val="clear" w:color="auto" w:fill="F2DBDB" w:themeFill="accent2" w:themeFillTint="33"/>
        <w:tabs>
          <w:tab w:val="center" w:pos="7016"/>
          <w:tab w:val="left" w:pos="10572"/>
        </w:tabs>
        <w:spacing w:line="240" w:lineRule="auto"/>
        <w:ind w:left="-1417" w:right="-1417"/>
        <w:jc w:val="center"/>
        <w:rPr>
          <w:b/>
          <w:bCs/>
          <w:color w:val="632423" w:themeColor="accent2" w:themeShade="80"/>
          <w:sz w:val="36"/>
          <w:szCs w:val="36"/>
          <w:lang w:bidi="ar-MA"/>
        </w:rPr>
      </w:pPr>
    </w:p>
    <w:p w:rsidR="0050584A" w:rsidRPr="0050584A" w:rsidRDefault="0050584A" w:rsidP="0050584A">
      <w:pPr>
        <w:shd w:val="clear" w:color="auto" w:fill="F2DBDB" w:themeFill="accent2" w:themeFillTint="33"/>
        <w:tabs>
          <w:tab w:val="center" w:pos="7016"/>
          <w:tab w:val="left" w:pos="10572"/>
        </w:tabs>
        <w:spacing w:line="240" w:lineRule="auto"/>
        <w:ind w:left="-1417" w:right="-1417"/>
        <w:jc w:val="center"/>
        <w:rPr>
          <w:b/>
          <w:bCs/>
          <w:color w:val="632423" w:themeColor="accent2" w:themeShade="80"/>
          <w:sz w:val="36"/>
          <w:szCs w:val="36"/>
          <w:lang w:bidi="ar-MA"/>
        </w:rPr>
      </w:pPr>
      <w:r w:rsidRPr="0050584A">
        <w:rPr>
          <w:b/>
          <w:bCs/>
          <w:color w:val="632423" w:themeColor="accent2" w:themeShade="80"/>
          <w:sz w:val="36"/>
          <w:szCs w:val="36"/>
          <w:lang w:bidi="ar-MA"/>
        </w:rPr>
        <w:lastRenderedPageBreak/>
        <w:t>Amélioration des conditions du travail</w:t>
      </w:r>
    </w:p>
    <w:tbl>
      <w:tblPr>
        <w:tblStyle w:val="Grilledutableau"/>
        <w:tblW w:w="5994" w:type="pct"/>
        <w:jc w:val="center"/>
        <w:tblInd w:w="-1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6"/>
        <w:gridCol w:w="5708"/>
      </w:tblGrid>
      <w:tr w:rsidR="007178AF" w:rsidRPr="00784B44" w:rsidTr="007178AF">
        <w:trPr>
          <w:trHeight w:val="2350"/>
          <w:jc w:val="center"/>
        </w:trPr>
        <w:tc>
          <w:tcPr>
            <w:tcW w:w="11134" w:type="dxa"/>
            <w:gridSpan w:val="2"/>
            <w:shd w:val="clear" w:color="auto" w:fill="F2F2F2" w:themeFill="background1" w:themeFillShade="F2"/>
          </w:tcPr>
          <w:p w:rsidR="005C5F3A" w:rsidRPr="005C5F3A" w:rsidRDefault="005C5F3A" w:rsidP="00EE11A3">
            <w:pPr>
              <w:pStyle w:val="Paragraphedeliste"/>
              <w:numPr>
                <w:ilvl w:val="0"/>
                <w:numId w:val="22"/>
              </w:numPr>
              <w:spacing w:before="0"/>
              <w:ind w:left="360"/>
              <w:rPr>
                <w:b/>
                <w:bCs/>
                <w:sz w:val="18"/>
                <w:szCs w:val="18"/>
                <w:lang w:val="fr-FR"/>
              </w:rPr>
            </w:pPr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Transfert au nouveau siège (capacité de </w:t>
            </w:r>
            <w:r w:rsidR="00265342">
              <w:rPr>
                <w:b/>
                <w:bCs/>
                <w:sz w:val="18"/>
                <w:szCs w:val="18"/>
                <w:lang w:val="fr-FR"/>
              </w:rPr>
              <w:t xml:space="preserve">230 fonctionnaires) </w:t>
            </w:r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et équipement des services centraux et extérieurs </w:t>
            </w:r>
            <w:r w:rsidR="00265342">
              <w:rPr>
                <w:b/>
                <w:bCs/>
                <w:sz w:val="18"/>
                <w:szCs w:val="18"/>
                <w:lang w:val="fr-FR"/>
              </w:rPr>
              <w:t xml:space="preserve">en </w:t>
            </w:r>
            <w:r w:rsidR="00EE11A3">
              <w:rPr>
                <w:b/>
                <w:bCs/>
                <w:sz w:val="18"/>
                <w:szCs w:val="18"/>
                <w:lang w:val="fr-FR"/>
              </w:rPr>
              <w:t>matériels</w:t>
            </w:r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 bureautiques et informatiques ;</w:t>
            </w:r>
          </w:p>
          <w:p w:rsidR="00EE11A3" w:rsidRPr="005C5F3A" w:rsidRDefault="00EE11A3" w:rsidP="00EE11A3">
            <w:pPr>
              <w:pStyle w:val="Paragraphedeliste"/>
              <w:numPr>
                <w:ilvl w:val="0"/>
                <w:numId w:val="22"/>
              </w:numPr>
              <w:spacing w:before="0"/>
              <w:ind w:left="360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sz w:val="18"/>
                <w:szCs w:val="18"/>
                <w:lang w:val="fr-FR"/>
              </w:rPr>
              <w:t>Changement des</w:t>
            </w:r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 siège</w:t>
            </w:r>
            <w:r>
              <w:rPr>
                <w:b/>
                <w:bCs/>
                <w:sz w:val="18"/>
                <w:szCs w:val="18"/>
                <w:lang w:val="fr-FR"/>
              </w:rPr>
              <w:t>s</w:t>
            </w:r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 de certaines délégations afin de suivre le rythme du développement ;</w:t>
            </w:r>
          </w:p>
          <w:p w:rsidR="00EE11A3" w:rsidRPr="005C5F3A" w:rsidRDefault="00EE11A3" w:rsidP="00EE11A3">
            <w:pPr>
              <w:pStyle w:val="Paragraphedeliste"/>
              <w:numPr>
                <w:ilvl w:val="0"/>
                <w:numId w:val="22"/>
              </w:numPr>
              <w:spacing w:before="0"/>
              <w:ind w:left="360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5C5F3A">
              <w:rPr>
                <w:b/>
                <w:bCs/>
                <w:sz w:val="18"/>
                <w:szCs w:val="18"/>
                <w:lang w:val="fr-FR"/>
              </w:rPr>
              <w:t>Aménagement de 16 délégations.</w:t>
            </w:r>
          </w:p>
          <w:p w:rsidR="005C5F3A" w:rsidRPr="005C5F3A" w:rsidRDefault="005C5F3A" w:rsidP="00EE11A3">
            <w:pPr>
              <w:pStyle w:val="Paragraphedeliste"/>
              <w:numPr>
                <w:ilvl w:val="0"/>
                <w:numId w:val="22"/>
              </w:numPr>
              <w:spacing w:before="0"/>
              <w:ind w:left="360"/>
              <w:rPr>
                <w:b/>
                <w:bCs/>
                <w:sz w:val="18"/>
                <w:szCs w:val="18"/>
                <w:lang w:val="fr-FR"/>
              </w:rPr>
            </w:pPr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Achèvement de l’aménagement de l’ </w:t>
            </w:r>
            <w:proofErr w:type="spellStart"/>
            <w:r w:rsidRPr="005C5F3A">
              <w:rPr>
                <w:b/>
                <w:bCs/>
                <w:sz w:val="18"/>
                <w:szCs w:val="18"/>
                <w:lang w:val="fr-FR"/>
              </w:rPr>
              <w:t>l.N.T.P.</w:t>
            </w:r>
            <w:proofErr w:type="spellEnd"/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S dans le but d’abriter l’école nationale </w:t>
            </w:r>
            <w:r w:rsidR="00EE11A3">
              <w:rPr>
                <w:b/>
                <w:bCs/>
                <w:sz w:val="18"/>
                <w:szCs w:val="18"/>
                <w:lang w:val="fr-FR"/>
              </w:rPr>
              <w:t>de</w:t>
            </w:r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 la prévoyance so</w:t>
            </w:r>
            <w:r w:rsidR="00265342">
              <w:rPr>
                <w:b/>
                <w:bCs/>
                <w:sz w:val="18"/>
                <w:szCs w:val="18"/>
                <w:lang w:val="fr-FR"/>
              </w:rPr>
              <w:t>ciale et le centre de formation</w:t>
            </w:r>
            <w:r w:rsidRPr="005C5F3A">
              <w:rPr>
                <w:b/>
                <w:bCs/>
                <w:sz w:val="18"/>
                <w:szCs w:val="18"/>
                <w:lang w:val="fr-FR"/>
              </w:rPr>
              <w:t>.</w:t>
            </w:r>
          </w:p>
          <w:p w:rsidR="007374D5" w:rsidRDefault="005C5F3A" w:rsidP="00EE11A3">
            <w:pPr>
              <w:pStyle w:val="Paragraphedeliste"/>
              <w:numPr>
                <w:ilvl w:val="0"/>
                <w:numId w:val="22"/>
              </w:numPr>
              <w:spacing w:before="0"/>
              <w:ind w:left="360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Adoption d’un système décentralisé fondé sur les résultats : et ce à traves la généralisation du programme de contractualisation qui </w:t>
            </w:r>
            <w:r w:rsidR="00EE11A3">
              <w:rPr>
                <w:b/>
                <w:bCs/>
                <w:sz w:val="18"/>
                <w:szCs w:val="18"/>
                <w:lang w:val="fr-FR"/>
              </w:rPr>
              <w:t>a couvert</w:t>
            </w:r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 toutes les délégations régionales et provinciales en 2012 au lieu de 10 délégations en 2010. Dans ce contexte, </w:t>
            </w:r>
            <w:r w:rsidR="00EE11A3">
              <w:rPr>
                <w:b/>
                <w:bCs/>
                <w:sz w:val="18"/>
                <w:szCs w:val="18"/>
                <w:lang w:val="fr-FR"/>
              </w:rPr>
              <w:t xml:space="preserve">l’octroi </w:t>
            </w:r>
            <w:r w:rsidRPr="005C5F3A">
              <w:rPr>
                <w:b/>
                <w:bCs/>
                <w:sz w:val="18"/>
                <w:szCs w:val="18"/>
                <w:lang w:val="fr-FR"/>
              </w:rPr>
              <w:t>de</w:t>
            </w:r>
            <w:r w:rsidR="00EE11A3">
              <w:rPr>
                <w:b/>
                <w:bCs/>
                <w:sz w:val="18"/>
                <w:szCs w:val="18"/>
                <w:lang w:val="fr-FR"/>
              </w:rPr>
              <w:t>s</w:t>
            </w:r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 crédits aux délégations </w:t>
            </w:r>
            <w:r w:rsidR="00EE11A3" w:rsidRPr="005C5F3A">
              <w:rPr>
                <w:b/>
                <w:bCs/>
                <w:sz w:val="18"/>
                <w:szCs w:val="18"/>
                <w:lang w:val="fr-FR"/>
              </w:rPr>
              <w:t xml:space="preserve">objet de contractualisation </w:t>
            </w:r>
            <w:r w:rsidR="00EE11A3">
              <w:rPr>
                <w:b/>
                <w:bCs/>
                <w:sz w:val="18"/>
                <w:szCs w:val="18"/>
                <w:lang w:val="fr-FR"/>
              </w:rPr>
              <w:t>s’est basé sur</w:t>
            </w:r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 des critères </w:t>
            </w:r>
            <w:r w:rsidR="00EE11A3">
              <w:rPr>
                <w:b/>
                <w:bCs/>
                <w:sz w:val="18"/>
                <w:szCs w:val="18"/>
                <w:lang w:val="fr-FR"/>
              </w:rPr>
              <w:t>objectifs bien déterminés</w:t>
            </w:r>
            <w:r w:rsidRPr="005C5F3A">
              <w:rPr>
                <w:b/>
                <w:bCs/>
                <w:sz w:val="18"/>
                <w:szCs w:val="18"/>
                <w:lang w:val="fr-FR"/>
              </w:rPr>
              <w:t>.</w:t>
            </w:r>
          </w:p>
          <w:p w:rsidR="005C5F3A" w:rsidRPr="007374D5" w:rsidRDefault="005C5F3A" w:rsidP="00EE11A3">
            <w:pPr>
              <w:pStyle w:val="Paragraphedeliste"/>
              <w:numPr>
                <w:ilvl w:val="0"/>
                <w:numId w:val="22"/>
              </w:numPr>
              <w:spacing w:before="0"/>
              <w:ind w:left="360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7374D5">
              <w:rPr>
                <w:b/>
                <w:bCs/>
                <w:sz w:val="18"/>
                <w:szCs w:val="18"/>
                <w:lang w:val="fr-FR"/>
              </w:rPr>
              <w:t xml:space="preserve">Achat de 9 voitures de service au profit de 9 délégations </w:t>
            </w:r>
            <w:r w:rsidR="00EE11A3">
              <w:rPr>
                <w:b/>
                <w:bCs/>
                <w:sz w:val="18"/>
                <w:szCs w:val="18"/>
                <w:lang w:val="fr-FR"/>
              </w:rPr>
              <w:t>ne disposant pas de</w:t>
            </w:r>
            <w:r w:rsidRPr="007374D5">
              <w:rPr>
                <w:b/>
                <w:bCs/>
                <w:sz w:val="18"/>
                <w:szCs w:val="18"/>
                <w:lang w:val="fr-FR"/>
              </w:rPr>
              <w:t xml:space="preserve"> moyens de transport e</w:t>
            </w:r>
            <w:r w:rsidR="00EE11A3">
              <w:rPr>
                <w:b/>
                <w:bCs/>
                <w:sz w:val="18"/>
                <w:szCs w:val="18"/>
                <w:lang w:val="fr-FR"/>
              </w:rPr>
              <w:t>t ce dans le cadre du programme</w:t>
            </w:r>
            <w:r w:rsidRPr="007374D5">
              <w:rPr>
                <w:b/>
                <w:bCs/>
                <w:sz w:val="18"/>
                <w:szCs w:val="18"/>
                <w:lang w:val="fr-FR"/>
              </w:rPr>
              <w:t xml:space="preserve"> de la coopération avec l’Espagne.</w:t>
            </w:r>
          </w:p>
          <w:p w:rsidR="007178AF" w:rsidRPr="005C5F3A" w:rsidRDefault="005C5F3A" w:rsidP="00EE11A3">
            <w:pPr>
              <w:pStyle w:val="Paragraphedeliste"/>
              <w:numPr>
                <w:ilvl w:val="0"/>
                <w:numId w:val="22"/>
              </w:numPr>
              <w:spacing w:before="0"/>
              <w:ind w:left="360"/>
              <w:jc w:val="both"/>
              <w:rPr>
                <w:rFonts w:ascii="Calibri" w:eastAsia="Times New Roman" w:hAnsi="Calibri" w:cs="Arabic Transparent"/>
                <w:b/>
                <w:bCs/>
                <w:snapToGrid w:val="0"/>
                <w:sz w:val="20"/>
                <w:szCs w:val="20"/>
                <w:rtl/>
                <w:lang w:val="fr-FR" w:bidi="ar-MA"/>
              </w:rPr>
            </w:pPr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Rationalisation de la gestion des parcs téléphonique et automobile ainsi que </w:t>
            </w:r>
            <w:r w:rsidR="00EE11A3">
              <w:rPr>
                <w:b/>
                <w:bCs/>
                <w:sz w:val="18"/>
                <w:szCs w:val="18"/>
                <w:lang w:val="fr-FR"/>
              </w:rPr>
              <w:t xml:space="preserve">de </w:t>
            </w:r>
            <w:r w:rsidRPr="005C5F3A">
              <w:rPr>
                <w:b/>
                <w:bCs/>
                <w:sz w:val="18"/>
                <w:szCs w:val="18"/>
                <w:lang w:val="fr-FR"/>
              </w:rPr>
              <w:t xml:space="preserve">l’exploitation de l’eau, </w:t>
            </w:r>
            <w:r w:rsidR="00EE11A3">
              <w:rPr>
                <w:b/>
                <w:bCs/>
                <w:sz w:val="18"/>
                <w:szCs w:val="18"/>
                <w:lang w:val="fr-FR"/>
              </w:rPr>
              <w:t>de l’</w:t>
            </w:r>
            <w:r w:rsidRPr="005C5F3A">
              <w:rPr>
                <w:b/>
                <w:bCs/>
                <w:sz w:val="18"/>
                <w:szCs w:val="18"/>
                <w:lang w:val="fr-FR"/>
              </w:rPr>
              <w:t>électricité</w:t>
            </w:r>
            <w:r w:rsidR="00EE11A3">
              <w:rPr>
                <w:b/>
                <w:bCs/>
                <w:sz w:val="18"/>
                <w:szCs w:val="18"/>
                <w:lang w:val="fr-FR"/>
              </w:rPr>
              <w:t>.</w:t>
            </w:r>
          </w:p>
        </w:tc>
      </w:tr>
      <w:tr w:rsidR="007178AF" w:rsidRPr="00784B44" w:rsidTr="00642921">
        <w:trPr>
          <w:trHeight w:val="1272"/>
          <w:jc w:val="center"/>
        </w:trPr>
        <w:tc>
          <w:tcPr>
            <w:tcW w:w="5426" w:type="dxa"/>
            <w:shd w:val="clear" w:color="auto" w:fill="DBE5F1" w:themeFill="accent1" w:themeFillTint="33"/>
          </w:tcPr>
          <w:p w:rsidR="00A04F28" w:rsidRPr="0027768D" w:rsidRDefault="00A04F28" w:rsidP="00A25744">
            <w:pPr>
              <w:pStyle w:val="Paragraphedeliste"/>
              <w:numPr>
                <w:ilvl w:val="0"/>
                <w:numId w:val="24"/>
              </w:numPr>
              <w:spacing w:before="0"/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bidi="ar-MA"/>
              </w:rPr>
            </w:pPr>
            <w:r w:rsidRPr="0027768D"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val="fr-FR" w:bidi="ar-MA"/>
              </w:rPr>
              <w:t>Décoration</w:t>
            </w:r>
            <w:r w:rsidRPr="0027768D">
              <w:rPr>
                <w:rFonts w:cs="Arabic Transparent" w:hint="cs"/>
                <w:b/>
                <w:bCs/>
                <w:color w:val="0000FF"/>
                <w:sz w:val="20"/>
                <w:szCs w:val="20"/>
                <w:u w:val="single"/>
                <w:rtl/>
                <w:lang w:bidi="ar-MA"/>
              </w:rPr>
              <w:t>:</w:t>
            </w:r>
          </w:p>
          <w:p w:rsidR="00A04F28" w:rsidRPr="00193506" w:rsidRDefault="00A04F28" w:rsidP="00A04F28">
            <w:pPr>
              <w:ind w:left="360"/>
              <w:rPr>
                <w:rFonts w:cs="Arabic Transparent"/>
                <w:b/>
                <w:bCs/>
                <w:sz w:val="2"/>
                <w:szCs w:val="2"/>
                <w:u w:val="single"/>
                <w:lang w:bidi="ar-MA"/>
              </w:rPr>
            </w:pPr>
          </w:p>
          <w:p w:rsidR="007178AF" w:rsidRPr="009E3B8F" w:rsidRDefault="00A04F28" w:rsidP="00A04F28">
            <w:pPr>
              <w:pStyle w:val="Retraitcorpsdetexte2"/>
              <w:bidi w:val="0"/>
              <w:spacing w:after="0" w:line="240" w:lineRule="auto"/>
              <w:ind w:left="0" w:right="74" w:firstLine="0"/>
              <w:jc w:val="both"/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</w:pPr>
            <w:r w:rsidRPr="009E3B8F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30 fonctionnaires on été décorés par différent </w:t>
            </w:r>
            <w:proofErr w:type="spellStart"/>
            <w:r w:rsidRPr="009E3B8F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wissam</w:t>
            </w:r>
            <w:proofErr w:type="spellEnd"/>
            <w:r w:rsidRPr="009E3B8F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 à l’occasion de le fête du trône</w:t>
            </w:r>
            <w:r w:rsidR="002E75F5" w:rsidRPr="009E3B8F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 :</w:t>
            </w:r>
            <w:r w:rsidR="009E3B8F" w:rsidRPr="009E3B8F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 1</w:t>
            </w:r>
            <w:r w:rsidR="002E75F5" w:rsidRPr="009E3B8F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0 du département de l’emploi</w:t>
            </w:r>
            <w:r w:rsidR="009E3B8F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 et 2</w:t>
            </w:r>
            <w:r w:rsidR="002E75F5" w:rsidRPr="009E3B8F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0 de la CNSS</w:t>
            </w:r>
            <w:r w:rsidR="002F36F1" w:rsidRPr="009E3B8F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.</w:t>
            </w:r>
            <w:r w:rsidR="002E75F5" w:rsidRPr="009E3B8F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 </w:t>
            </w:r>
          </w:p>
        </w:tc>
        <w:tc>
          <w:tcPr>
            <w:tcW w:w="5708" w:type="dxa"/>
            <w:shd w:val="clear" w:color="auto" w:fill="EAF1DD" w:themeFill="accent3" w:themeFillTint="33"/>
          </w:tcPr>
          <w:p w:rsidR="00497192" w:rsidRPr="0027768D" w:rsidRDefault="00EE11A3" w:rsidP="00A25744">
            <w:pPr>
              <w:pStyle w:val="Paragraphedeliste"/>
              <w:numPr>
                <w:ilvl w:val="0"/>
                <w:numId w:val="24"/>
              </w:numPr>
              <w:spacing w:before="0"/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bidi="ar-MA"/>
              </w:rPr>
            </w:pPr>
            <w:proofErr w:type="spellStart"/>
            <w:r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bidi="ar-MA"/>
              </w:rPr>
              <w:t>Honorification</w:t>
            </w:r>
            <w:proofErr w:type="spellEnd"/>
            <w:r w:rsidR="00497192" w:rsidRPr="0027768D"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bidi="ar-MA"/>
              </w:rPr>
              <w:t xml:space="preserve"> des </w:t>
            </w:r>
            <w:proofErr w:type="spellStart"/>
            <w:r w:rsidR="00497192" w:rsidRPr="0027768D"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bidi="ar-MA"/>
              </w:rPr>
              <w:t>retraités</w:t>
            </w:r>
            <w:proofErr w:type="spellEnd"/>
          </w:p>
          <w:p w:rsidR="007178AF" w:rsidRPr="00497192" w:rsidRDefault="00497192" w:rsidP="000B5A00">
            <w:pPr>
              <w:pStyle w:val="Retraitcorpsdetexte2"/>
              <w:spacing w:after="0" w:line="240" w:lineRule="auto"/>
              <w:ind w:left="0" w:right="74" w:firstLine="0"/>
              <w:jc w:val="right"/>
              <w:rPr>
                <w:rFonts w:ascii="Arabic Transparent" w:cs="Arabic Transparent"/>
                <w:b/>
                <w:bCs/>
                <w:sz w:val="20"/>
                <w:szCs w:val="20"/>
                <w:lang w:val="fr-FR" w:bidi="ar-MA"/>
              </w:rPr>
            </w:pPr>
            <w:r w:rsidRPr="007374D5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Ch</w:t>
            </w:r>
            <w:r w:rsidR="00EE11A3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aque année le ministère honore </w:t>
            </w:r>
            <w:r w:rsidRPr="007374D5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les cadres et les agents  retraités en</w:t>
            </w:r>
            <w:r w:rsidR="00EE11A3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 reconnaissance des services qu’ils </w:t>
            </w:r>
            <w:r w:rsidRPr="007374D5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ont </w:t>
            </w:r>
            <w:r w:rsidR="00EE11A3" w:rsidRPr="007374D5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fournis</w:t>
            </w:r>
            <w:r w:rsidRPr="007374D5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 </w:t>
            </w:r>
            <w:r w:rsidR="00EE11A3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au cours de leur </w:t>
            </w:r>
            <w:r w:rsidR="00EB75A1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 vie administrative</w:t>
            </w:r>
            <w:r w:rsidR="000B5A00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. A</w:t>
            </w:r>
            <w:r w:rsidRPr="007374D5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insi 16  retraités ont bénéficié d’</w:t>
            </w:r>
            <w:proofErr w:type="spellStart"/>
            <w:r w:rsidRPr="007374D5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h</w:t>
            </w:r>
            <w:r w:rsidR="000B5A00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onnorification</w:t>
            </w:r>
            <w:proofErr w:type="spellEnd"/>
            <w:r w:rsidRPr="007374D5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 au titre de l’année 2012.</w:t>
            </w:r>
          </w:p>
        </w:tc>
      </w:tr>
      <w:tr w:rsidR="007178AF" w:rsidRPr="00784B44" w:rsidTr="00642921">
        <w:trPr>
          <w:trHeight w:val="859"/>
          <w:jc w:val="center"/>
        </w:trPr>
        <w:tc>
          <w:tcPr>
            <w:tcW w:w="5426" w:type="dxa"/>
            <w:shd w:val="clear" w:color="auto" w:fill="EAF1DD" w:themeFill="accent3" w:themeFillTint="33"/>
          </w:tcPr>
          <w:p w:rsidR="00A671CF" w:rsidRPr="000B5A00" w:rsidRDefault="00A671CF" w:rsidP="00A671CF">
            <w:pPr>
              <w:pStyle w:val="Paragraphedeliste"/>
              <w:numPr>
                <w:ilvl w:val="0"/>
                <w:numId w:val="24"/>
              </w:numPr>
              <w:spacing w:before="0"/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val="fr-FR" w:bidi="ar-MA"/>
              </w:rPr>
            </w:pPr>
            <w:r w:rsidRPr="000B5A00"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val="fr-FR" w:bidi="ar-MA"/>
              </w:rPr>
              <w:t xml:space="preserve">La </w:t>
            </w:r>
            <w:r w:rsidR="004D05D6" w:rsidRPr="0027768D"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val="fr-FR" w:bidi="ar-MA"/>
              </w:rPr>
              <w:t>restau</w:t>
            </w:r>
            <w:r w:rsidR="00A5173B" w:rsidRPr="0027768D"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val="fr-FR" w:bidi="ar-MA"/>
              </w:rPr>
              <w:t>ration</w:t>
            </w:r>
          </w:p>
          <w:p w:rsidR="00A671CF" w:rsidRPr="00A671CF" w:rsidRDefault="00A671CF" w:rsidP="00A671CF">
            <w:pPr>
              <w:pStyle w:val="Retraitcorpsdetexte2"/>
              <w:spacing w:after="0" w:line="240" w:lineRule="auto"/>
              <w:ind w:left="0" w:right="74" w:firstLine="0"/>
              <w:jc w:val="right"/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</w:pPr>
            <w:r w:rsidRPr="00A671CF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Le restaurant du nouveau siège du ministère a récemment été exploité. Un contrat avec</w:t>
            </w:r>
            <w:r w:rsidR="000B5A00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 un</w:t>
            </w:r>
            <w:r w:rsidRPr="00A671CF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 xml:space="preserve"> traiteur privé a  été conclu à un prix préférentiel.</w:t>
            </w:r>
          </w:p>
          <w:p w:rsidR="007178AF" w:rsidRPr="00A671CF" w:rsidRDefault="007178AF" w:rsidP="00A671CF">
            <w:pPr>
              <w:pStyle w:val="Retraitcorpsdetexte2"/>
              <w:bidi w:val="0"/>
              <w:spacing w:after="0" w:line="240" w:lineRule="auto"/>
              <w:ind w:left="0" w:right="74" w:firstLine="0"/>
              <w:jc w:val="both"/>
              <w:rPr>
                <w:rFonts w:cs="Arabic Transparent"/>
                <w:b/>
                <w:bCs/>
                <w:sz w:val="20"/>
                <w:szCs w:val="20"/>
                <w:lang w:val="fr-FR" w:bidi="ar-MA"/>
              </w:rPr>
            </w:pPr>
          </w:p>
        </w:tc>
        <w:tc>
          <w:tcPr>
            <w:tcW w:w="5708" w:type="dxa"/>
            <w:shd w:val="clear" w:color="auto" w:fill="DBE5F1" w:themeFill="accent1" w:themeFillTint="33"/>
          </w:tcPr>
          <w:p w:rsidR="00A5173B" w:rsidRPr="0027768D" w:rsidRDefault="00A5173B" w:rsidP="00A5173B">
            <w:pPr>
              <w:pStyle w:val="Paragraphedeliste"/>
              <w:numPr>
                <w:ilvl w:val="0"/>
                <w:numId w:val="24"/>
              </w:numPr>
              <w:spacing w:before="0"/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bidi="ar-MA"/>
              </w:rPr>
            </w:pPr>
            <w:r w:rsidRPr="0027768D"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bidi="ar-MA"/>
              </w:rPr>
              <w:t xml:space="preserve">Association des </w:t>
            </w:r>
            <w:proofErr w:type="spellStart"/>
            <w:r w:rsidRPr="0027768D"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bidi="ar-MA"/>
              </w:rPr>
              <w:t>œuvres</w:t>
            </w:r>
            <w:proofErr w:type="spellEnd"/>
            <w:r w:rsidRPr="0027768D"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bidi="ar-MA"/>
              </w:rPr>
              <w:t xml:space="preserve"> </w:t>
            </w:r>
            <w:proofErr w:type="spellStart"/>
            <w:r w:rsidRPr="0027768D">
              <w:rPr>
                <w:rFonts w:cs="Arabic Transparent"/>
                <w:b/>
                <w:bCs/>
                <w:color w:val="0000FF"/>
                <w:sz w:val="20"/>
                <w:szCs w:val="20"/>
                <w:u w:val="single"/>
                <w:lang w:bidi="ar-MA"/>
              </w:rPr>
              <w:t>sociales</w:t>
            </w:r>
            <w:proofErr w:type="spellEnd"/>
          </w:p>
          <w:p w:rsidR="007178AF" w:rsidRPr="00A5173B" w:rsidRDefault="00A5173B" w:rsidP="000B5A00">
            <w:pPr>
              <w:pStyle w:val="Retraitcorpsdetexte2"/>
              <w:spacing w:after="0" w:line="240" w:lineRule="auto"/>
              <w:ind w:left="0" w:right="74" w:firstLine="0"/>
              <w:jc w:val="right"/>
              <w:rPr>
                <w:rFonts w:cs="Arabic Transparent"/>
                <w:b/>
                <w:bCs/>
                <w:sz w:val="20"/>
                <w:szCs w:val="20"/>
                <w:lang w:val="fr-FR" w:bidi="ar-MA"/>
              </w:rPr>
            </w:pPr>
            <w:r w:rsidRPr="007374D5">
              <w:rPr>
                <w:rFonts w:cs="Arabic Transparent"/>
                <w:b/>
                <w:bCs/>
                <w:sz w:val="18"/>
                <w:szCs w:val="18"/>
                <w:lang w:val="fr-FR" w:bidi="ar-MA"/>
              </w:rPr>
              <w:t>Le ministère a accordé à l’association un crédit d’un montant de 600000Dh au titre de l’année 2012.</w:t>
            </w:r>
          </w:p>
        </w:tc>
      </w:tr>
    </w:tbl>
    <w:p w:rsidR="00876DE8" w:rsidRDefault="00876DE8" w:rsidP="00B17776">
      <w:pPr>
        <w:ind w:left="-993"/>
        <w:rPr>
          <w:lang w:bidi="ar-MA"/>
        </w:rPr>
      </w:pPr>
    </w:p>
    <w:p w:rsidR="00932892" w:rsidRPr="00932892" w:rsidRDefault="00932892" w:rsidP="00932892">
      <w:pPr>
        <w:shd w:val="clear" w:color="auto" w:fill="F2DBDB" w:themeFill="accent2" w:themeFillTint="33"/>
        <w:tabs>
          <w:tab w:val="center" w:pos="7016"/>
          <w:tab w:val="left" w:pos="10572"/>
        </w:tabs>
        <w:spacing w:line="240" w:lineRule="auto"/>
        <w:ind w:left="-1417" w:right="-1417"/>
        <w:jc w:val="center"/>
        <w:rPr>
          <w:b/>
          <w:bCs/>
          <w:color w:val="632423" w:themeColor="accent2" w:themeShade="80"/>
          <w:sz w:val="36"/>
          <w:szCs w:val="36"/>
          <w:lang w:bidi="ar-MA"/>
        </w:rPr>
      </w:pPr>
      <w:r w:rsidRPr="00932892">
        <w:rPr>
          <w:b/>
          <w:bCs/>
          <w:color w:val="632423" w:themeColor="accent2" w:themeShade="80"/>
          <w:sz w:val="36"/>
          <w:szCs w:val="36"/>
          <w:lang w:bidi="ar-MA"/>
        </w:rPr>
        <w:t xml:space="preserve">Formation et Formation continue </w:t>
      </w:r>
    </w:p>
    <w:tbl>
      <w:tblPr>
        <w:tblStyle w:val="Grilledutableau"/>
        <w:tblW w:w="11147" w:type="dxa"/>
        <w:tblInd w:w="-97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5902"/>
        <w:gridCol w:w="5245"/>
      </w:tblGrid>
      <w:tr w:rsidR="00C84723" w:rsidRPr="00C84723" w:rsidTr="00FB0F5A">
        <w:trPr>
          <w:trHeight w:val="291"/>
        </w:trPr>
        <w:tc>
          <w:tcPr>
            <w:tcW w:w="11147" w:type="dxa"/>
            <w:gridSpan w:val="2"/>
            <w:shd w:val="clear" w:color="auto" w:fill="548DD4" w:themeFill="text2" w:themeFillTint="99"/>
          </w:tcPr>
          <w:p w:rsidR="00C84723" w:rsidRPr="00C84723" w:rsidRDefault="00C84723" w:rsidP="00042C7A">
            <w:pPr>
              <w:pStyle w:val="NormalWeb"/>
              <w:spacing w:before="0" w:beforeAutospacing="0" w:after="0" w:afterAutospacing="0" w:line="276" w:lineRule="auto"/>
              <w:rPr>
                <w:rFonts w:cs="Arial"/>
                <w:b/>
                <w:bCs/>
                <w:color w:val="FFFFFF" w:themeColor="background1"/>
                <w:kern w:val="24"/>
                <w:sz w:val="20"/>
                <w:szCs w:val="20"/>
                <w:lang w:val="fr-FR"/>
              </w:rPr>
            </w:pPr>
            <w:r w:rsidRPr="00C84723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FR" w:bidi="ar-MA"/>
              </w:rPr>
              <w:t>Formation continue au titre des années 2010-2013</w:t>
            </w:r>
          </w:p>
        </w:tc>
      </w:tr>
      <w:tr w:rsidR="00C84723" w:rsidRPr="00C84723" w:rsidTr="00FB0F5A">
        <w:trPr>
          <w:trHeight w:val="409"/>
        </w:trPr>
        <w:tc>
          <w:tcPr>
            <w:tcW w:w="11147" w:type="dxa"/>
            <w:gridSpan w:val="2"/>
            <w:tcBorders>
              <w:bottom w:val="single" w:sz="4" w:space="0" w:color="4F81BD" w:themeColor="accent1"/>
            </w:tcBorders>
          </w:tcPr>
          <w:p w:rsidR="00C84723" w:rsidRPr="001C5432" w:rsidRDefault="00C84723" w:rsidP="00020054">
            <w:pPr>
              <w:pStyle w:val="NormalWeb"/>
              <w:shd w:val="clear" w:color="auto" w:fill="F2DBDB" w:themeFill="accent2" w:themeFillTint="33"/>
              <w:spacing w:before="240" w:beforeAutospacing="0" w:after="0" w:afterAutospacing="0" w:line="276" w:lineRule="auto"/>
              <w:rPr>
                <w:sz w:val="18"/>
                <w:szCs w:val="18"/>
                <w:lang w:val="fr-FR"/>
              </w:rPr>
            </w:pPr>
            <w:r w:rsidRPr="001C5432">
              <w:rPr>
                <w:rFonts w:cs="Arial"/>
                <w:b/>
                <w:bCs/>
                <w:color w:val="000000"/>
                <w:kern w:val="24"/>
                <w:sz w:val="18"/>
                <w:szCs w:val="18"/>
                <w:lang w:val="fr-FR"/>
              </w:rPr>
              <w:t>Thèmes des Formations continues organisées au profit des fonctionnaires du Département de l’Emploi :</w:t>
            </w:r>
          </w:p>
        </w:tc>
      </w:tr>
      <w:tr w:rsidR="00FB0F5A" w:rsidRPr="00C84723" w:rsidTr="001F0361">
        <w:trPr>
          <w:trHeight w:val="299"/>
        </w:trPr>
        <w:tc>
          <w:tcPr>
            <w:tcW w:w="5902" w:type="dxa"/>
            <w:tcBorders>
              <w:bottom w:val="nil"/>
              <w:right w:val="nil"/>
            </w:tcBorders>
            <w:shd w:val="clear" w:color="auto" w:fill="auto"/>
          </w:tcPr>
          <w:p w:rsidR="00FB0F5A" w:rsidRPr="00FB0F5A" w:rsidRDefault="00FB0F5A" w:rsidP="00FB0F5A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color w:val="984806" w:themeColor="accent6" w:themeShade="80"/>
                <w:sz w:val="18"/>
                <w:szCs w:val="18"/>
                <w:u w:val="single"/>
                <w:lang w:eastAsia="en-US" w:bidi="ar-MA"/>
              </w:rPr>
            </w:pPr>
            <w:proofErr w:type="spellStart"/>
            <w:r w:rsidRPr="00FB0F5A">
              <w:rPr>
                <w:rFonts w:ascii="Calibri" w:hAnsi="Calibri" w:cs="Arabic Transparent"/>
                <w:b/>
                <w:bCs/>
                <w:snapToGrid w:val="0"/>
                <w:color w:val="984806" w:themeColor="accent6" w:themeShade="80"/>
                <w:sz w:val="18"/>
                <w:szCs w:val="18"/>
                <w:u w:val="single"/>
                <w:lang w:eastAsia="en-US" w:bidi="ar-MA"/>
              </w:rPr>
              <w:t>Dans</w:t>
            </w:r>
            <w:proofErr w:type="spellEnd"/>
            <w:r w:rsidRPr="00FB0F5A">
              <w:rPr>
                <w:rFonts w:ascii="Calibri" w:hAnsi="Calibri" w:cs="Arabic Transparent"/>
                <w:b/>
                <w:bCs/>
                <w:snapToGrid w:val="0"/>
                <w:color w:val="984806" w:themeColor="accent6" w:themeShade="80"/>
                <w:sz w:val="18"/>
                <w:szCs w:val="18"/>
                <w:u w:val="single"/>
                <w:lang w:eastAsia="en-US" w:bidi="ar-MA"/>
              </w:rPr>
              <w:t xml:space="preserve"> le </w:t>
            </w:r>
            <w:proofErr w:type="spellStart"/>
            <w:r w:rsidRPr="00FB0F5A">
              <w:rPr>
                <w:rFonts w:ascii="Calibri" w:hAnsi="Calibri" w:cs="Arabic Transparent"/>
                <w:b/>
                <w:bCs/>
                <w:snapToGrid w:val="0"/>
                <w:color w:val="984806" w:themeColor="accent6" w:themeShade="80"/>
                <w:sz w:val="18"/>
                <w:szCs w:val="18"/>
                <w:u w:val="single"/>
                <w:lang w:eastAsia="en-US" w:bidi="ar-MA"/>
              </w:rPr>
              <w:t>domaine</w:t>
            </w:r>
            <w:proofErr w:type="spellEnd"/>
            <w:r w:rsidRPr="00FB0F5A">
              <w:rPr>
                <w:rFonts w:ascii="Calibri" w:hAnsi="Calibri" w:cs="Arabic Transparent"/>
                <w:b/>
                <w:bCs/>
                <w:snapToGrid w:val="0"/>
                <w:color w:val="984806" w:themeColor="accent6" w:themeShade="80"/>
                <w:sz w:val="18"/>
                <w:szCs w:val="18"/>
                <w:u w:val="single"/>
                <w:lang w:eastAsia="en-US" w:bidi="ar-MA"/>
              </w:rPr>
              <w:t xml:space="preserve"> technique</w:t>
            </w:r>
          </w:p>
        </w:tc>
        <w:tc>
          <w:tcPr>
            <w:tcW w:w="5245" w:type="dxa"/>
            <w:tcBorders>
              <w:left w:val="nil"/>
              <w:bottom w:val="nil"/>
            </w:tcBorders>
            <w:shd w:val="clear" w:color="auto" w:fill="auto"/>
          </w:tcPr>
          <w:p w:rsidR="00FB0F5A" w:rsidRPr="00FB0F5A" w:rsidRDefault="0078169A" w:rsidP="00FB0F5A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color w:val="984806" w:themeColor="accent6" w:themeShade="80"/>
                <w:sz w:val="18"/>
                <w:szCs w:val="18"/>
                <w:u w:val="single"/>
                <w:lang w:val="fr-FR" w:eastAsia="en-US" w:bidi="ar-MA"/>
              </w:rPr>
            </w:pPr>
            <w:r>
              <w:rPr>
                <w:rFonts w:ascii="Calibri" w:hAnsi="Calibri" w:cs="Arabic Transparent"/>
                <w:b/>
                <w:bCs/>
                <w:snapToGrid w:val="0"/>
                <w:color w:val="984806" w:themeColor="accent6" w:themeShade="80"/>
                <w:sz w:val="18"/>
                <w:szCs w:val="18"/>
                <w:u w:val="single"/>
                <w:lang w:val="fr-FR" w:eastAsia="en-US" w:bidi="ar-MA"/>
              </w:rPr>
              <w:t>Dans le domaine de</w:t>
            </w:r>
            <w:r w:rsidR="00FB0F5A" w:rsidRPr="00FB0F5A">
              <w:rPr>
                <w:rFonts w:ascii="Calibri" w:hAnsi="Calibri" w:cs="Arabic Transparent"/>
                <w:b/>
                <w:bCs/>
                <w:snapToGrid w:val="0"/>
                <w:color w:val="984806" w:themeColor="accent6" w:themeShade="80"/>
                <w:sz w:val="18"/>
                <w:szCs w:val="18"/>
                <w:u w:val="single"/>
                <w:lang w:val="fr-FR" w:eastAsia="en-US" w:bidi="ar-MA"/>
              </w:rPr>
              <w:t xml:space="preserve"> gestion administrative</w:t>
            </w:r>
          </w:p>
        </w:tc>
      </w:tr>
      <w:tr w:rsidR="00C84723" w:rsidRPr="00C84723" w:rsidTr="001F0361">
        <w:trPr>
          <w:trHeight w:val="259"/>
        </w:trPr>
        <w:tc>
          <w:tcPr>
            <w:tcW w:w="59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723" w:rsidRPr="00C84723" w:rsidRDefault="00C84723" w:rsidP="007374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 xml:space="preserve">Hygiène et Sécurité au Travail pour </w:t>
            </w:r>
            <w:r w:rsidR="000B5A00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 xml:space="preserve">les </w:t>
            </w: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Ingénieurs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723" w:rsidRPr="00FB0F5A" w:rsidRDefault="00FB0F5A" w:rsidP="00FB0F5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Management  pour  responsables et cadre</w:t>
            </w:r>
          </w:p>
        </w:tc>
      </w:tr>
      <w:tr w:rsidR="00C84723" w:rsidRPr="00C84723" w:rsidTr="001F0361">
        <w:trPr>
          <w:trHeight w:val="393"/>
        </w:trPr>
        <w:tc>
          <w:tcPr>
            <w:tcW w:w="59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723" w:rsidRPr="00C84723" w:rsidRDefault="000B5A00" w:rsidP="007374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Formation des Formateurs</w:t>
            </w:r>
            <w:r w:rsidR="00FB0F5A"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 xml:space="preserve"> dans le domaine de la conciliation et la rés</w:t>
            </w:r>
            <w:r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olution des conflits collectifs</w:t>
            </w:r>
            <w:r w:rsidR="00FB0F5A"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rtl/>
                <w:lang w:val="fr-FR" w:eastAsia="en-US" w:bidi="ar-MA"/>
              </w:rPr>
              <w:t xml:space="preserve"> </w:t>
            </w:r>
            <w:r w:rsidR="00FB0F5A"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 xml:space="preserve">du travail dans le cadre de la coopération avec la </w:t>
            </w:r>
            <w:r w:rsidR="00FB0F5A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France.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B0F5A" w:rsidRDefault="00FB0F5A" w:rsidP="007374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 xml:space="preserve">Ecrits administratifs et rédaction des rapports pour Cadres et Agents </w:t>
            </w:r>
          </w:p>
          <w:p w:rsidR="00C84723" w:rsidRPr="00C84723" w:rsidRDefault="00FB0F5A" w:rsidP="007374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Gestion des projets pour  responsables et cadres</w:t>
            </w:r>
          </w:p>
        </w:tc>
      </w:tr>
      <w:tr w:rsidR="00C84723" w:rsidRPr="00C84723" w:rsidTr="001F0361">
        <w:trPr>
          <w:trHeight w:val="460"/>
        </w:trPr>
        <w:tc>
          <w:tcPr>
            <w:tcW w:w="59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723" w:rsidRPr="00FB0F5A" w:rsidRDefault="00FB0F5A" w:rsidP="000B5A00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 xml:space="preserve">Techniques </w:t>
            </w:r>
            <w:r w:rsidR="000B5A00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de</w:t>
            </w: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 xml:space="preserve">  conciliation des conflits du travail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723" w:rsidRPr="00C84723" w:rsidRDefault="00FB0F5A" w:rsidP="007374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Gestion de la régie de dépense et des crédits</w:t>
            </w:r>
          </w:p>
        </w:tc>
      </w:tr>
      <w:tr w:rsidR="00C84723" w:rsidRPr="00C84723" w:rsidTr="001F0361">
        <w:trPr>
          <w:trHeight w:val="340"/>
        </w:trPr>
        <w:tc>
          <w:tcPr>
            <w:tcW w:w="59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723" w:rsidRPr="00C84723" w:rsidRDefault="00C84723" w:rsidP="007374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 xml:space="preserve">Droit de travail et  méthodologie de contrôle pour </w:t>
            </w:r>
            <w:r w:rsidR="000B5A00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 xml:space="preserve">les </w:t>
            </w: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Inspecteurs du Travail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723" w:rsidRPr="00C84723" w:rsidRDefault="00FB0F5A" w:rsidP="007374D5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Coaching et Team building pour Responsables et cadres</w:t>
            </w:r>
          </w:p>
        </w:tc>
      </w:tr>
      <w:tr w:rsidR="00C84723" w:rsidRPr="00C84723" w:rsidTr="001F0361">
        <w:trPr>
          <w:trHeight w:val="445"/>
        </w:trPr>
        <w:tc>
          <w:tcPr>
            <w:tcW w:w="59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723" w:rsidRPr="00C84723" w:rsidRDefault="00FB0F5A" w:rsidP="00FB0F5A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 xml:space="preserve">Ingénierie de la formation pour </w:t>
            </w:r>
            <w:r w:rsidR="000B5A00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 xml:space="preserve">les correspondants </w:t>
            </w: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 xml:space="preserve">de formation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723" w:rsidRPr="00C84723" w:rsidRDefault="001F0361" w:rsidP="007374D5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Secrétariat de direction et bureautique pour Secrétaires et agents</w:t>
            </w:r>
          </w:p>
        </w:tc>
      </w:tr>
      <w:tr w:rsidR="00C84723" w:rsidRPr="00C84723" w:rsidTr="001F0361">
        <w:trPr>
          <w:trHeight w:val="548"/>
        </w:trPr>
        <w:tc>
          <w:tcPr>
            <w:tcW w:w="59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723" w:rsidRPr="00C84723" w:rsidRDefault="001F0361" w:rsidP="007374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Formation en Conception des programmes de formation pour réseaux des IT –Coopération avec la France-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723" w:rsidRPr="00C84723" w:rsidRDefault="00C84723" w:rsidP="007374D5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Gestion axée sur les résultats pour  responsables et cadres</w:t>
            </w:r>
          </w:p>
        </w:tc>
      </w:tr>
      <w:tr w:rsidR="00C84723" w:rsidRPr="00C84723" w:rsidTr="001F0361">
        <w:trPr>
          <w:trHeight w:val="305"/>
        </w:trPr>
        <w:tc>
          <w:tcPr>
            <w:tcW w:w="59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723" w:rsidRPr="00C84723" w:rsidRDefault="001F0361" w:rsidP="007374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Hygiène et Sécurité au Travail et travail des enfants et IT – Coopération avec AECID, Espagne-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723" w:rsidRPr="00C84723" w:rsidRDefault="001F0361" w:rsidP="007374D5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Communication pour  responsables et cadres</w:t>
            </w:r>
          </w:p>
        </w:tc>
      </w:tr>
      <w:tr w:rsidR="00C84723" w:rsidRPr="00C84723" w:rsidTr="001F0361">
        <w:trPr>
          <w:trHeight w:val="562"/>
        </w:trPr>
        <w:tc>
          <w:tcPr>
            <w:tcW w:w="59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723" w:rsidRPr="00C84723" w:rsidRDefault="001F0361" w:rsidP="007374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Principes et droit fondamentaux au travail pour IT –Coopération avec BIT-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723" w:rsidRPr="00C84723" w:rsidRDefault="001F0361" w:rsidP="007374D5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Informatique  cadres et Ingénieurs Informaticiens</w:t>
            </w:r>
          </w:p>
        </w:tc>
      </w:tr>
      <w:tr w:rsidR="00C84723" w:rsidRPr="00C84723" w:rsidTr="001F0361">
        <w:trPr>
          <w:trHeight w:val="231"/>
        </w:trPr>
        <w:tc>
          <w:tcPr>
            <w:tcW w:w="59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723" w:rsidRPr="00C84723" w:rsidRDefault="001F0361" w:rsidP="007374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Techniques d’intermédiation  et de négociation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723" w:rsidRPr="00C84723" w:rsidRDefault="001F0361" w:rsidP="007374D5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langue anglaise pour Responsables et cadres</w:t>
            </w:r>
          </w:p>
        </w:tc>
      </w:tr>
      <w:tr w:rsidR="00C84723" w:rsidRPr="00C84723" w:rsidTr="001F0361">
        <w:trPr>
          <w:trHeight w:val="411"/>
        </w:trPr>
        <w:tc>
          <w:tcPr>
            <w:tcW w:w="59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84723" w:rsidRPr="00C84723" w:rsidRDefault="001F0361" w:rsidP="007374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Formation au profit des médecins chargés de l'inspection du travail sur la prévention du VIH/SIDA dans le milieu du travail –ONUSIDA-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723" w:rsidRPr="00C84723" w:rsidRDefault="001F0361" w:rsidP="007374D5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Gestion du budget de comptabilité et des crédits pour Responsables et cadres</w:t>
            </w:r>
          </w:p>
        </w:tc>
      </w:tr>
      <w:tr w:rsidR="00C84723" w:rsidRPr="00C84723" w:rsidTr="001F0361">
        <w:trPr>
          <w:trHeight w:val="472"/>
        </w:trPr>
        <w:tc>
          <w:tcPr>
            <w:tcW w:w="59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0361" w:rsidRDefault="00C84723" w:rsidP="001F036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Santé et sécurité au travail dans le secteur des BTP*</w:t>
            </w:r>
          </w:p>
          <w:p w:rsidR="00C84723" w:rsidRPr="00C84723" w:rsidRDefault="001F0361" w:rsidP="001F0361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Les droits humains dans le domaine de la justice au Maroc –IFAD-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84723" w:rsidRPr="00C84723" w:rsidRDefault="00C84723" w:rsidP="001F0361">
            <w:pPr>
              <w:pStyle w:val="NormalWeb"/>
              <w:spacing w:before="0" w:beforeAutospacing="0" w:after="0" w:afterAutospacing="0" w:line="276" w:lineRule="auto"/>
              <w:ind w:left="360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</w:p>
        </w:tc>
      </w:tr>
      <w:tr w:rsidR="00C84723" w:rsidRPr="00C84723" w:rsidTr="001F0361">
        <w:trPr>
          <w:trHeight w:val="351"/>
        </w:trPr>
        <w:tc>
          <w:tcPr>
            <w:tcW w:w="5902" w:type="dxa"/>
            <w:tcBorders>
              <w:top w:val="nil"/>
              <w:right w:val="nil"/>
            </w:tcBorders>
            <w:shd w:val="clear" w:color="auto" w:fill="auto"/>
          </w:tcPr>
          <w:p w:rsidR="00C84723" w:rsidRPr="00C84723" w:rsidRDefault="00C84723" w:rsidP="007374D5">
            <w:pPr>
              <w:pStyle w:val="NormalWeb"/>
              <w:numPr>
                <w:ilvl w:val="0"/>
                <w:numId w:val="28"/>
              </w:numPr>
              <w:spacing w:before="0" w:beforeAutospacing="0" w:after="0" w:afterAutospacing="0" w:line="276" w:lineRule="auto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  <w:r w:rsidRPr="00C84723"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  <w:t>Approche genre –UNIFEM-</w:t>
            </w:r>
          </w:p>
        </w:tc>
        <w:tc>
          <w:tcPr>
            <w:tcW w:w="5245" w:type="dxa"/>
            <w:tcBorders>
              <w:top w:val="nil"/>
              <w:left w:val="nil"/>
            </w:tcBorders>
            <w:shd w:val="clear" w:color="auto" w:fill="auto"/>
          </w:tcPr>
          <w:p w:rsidR="00C84723" w:rsidRPr="00C84723" w:rsidRDefault="00C84723" w:rsidP="001F0361">
            <w:pPr>
              <w:pStyle w:val="NormalWeb"/>
              <w:spacing w:before="0" w:beforeAutospacing="0" w:after="0" w:afterAutospacing="0" w:line="276" w:lineRule="auto"/>
              <w:ind w:left="360"/>
              <w:rPr>
                <w:rFonts w:ascii="Calibri" w:hAnsi="Calibri" w:cs="Arabic Transparent"/>
                <w:b/>
                <w:bCs/>
                <w:snapToGrid w:val="0"/>
                <w:sz w:val="18"/>
                <w:szCs w:val="18"/>
                <w:lang w:val="fr-FR" w:eastAsia="en-US" w:bidi="ar-MA"/>
              </w:rPr>
            </w:pPr>
          </w:p>
        </w:tc>
      </w:tr>
    </w:tbl>
    <w:tbl>
      <w:tblPr>
        <w:tblStyle w:val="Grillemoyenne1-Accent5"/>
        <w:tblW w:w="6017" w:type="pct"/>
        <w:tblInd w:w="-1026" w:type="dxa"/>
        <w:tblLayout w:type="fixed"/>
        <w:tblLook w:val="04A0"/>
      </w:tblPr>
      <w:tblGrid>
        <w:gridCol w:w="6521"/>
        <w:gridCol w:w="4656"/>
      </w:tblGrid>
      <w:tr w:rsidR="004807DD" w:rsidTr="004807DD">
        <w:trPr>
          <w:cnfStyle w:val="100000000000"/>
          <w:trHeight w:val="2953"/>
        </w:trPr>
        <w:tc>
          <w:tcPr>
            <w:cnfStyle w:val="001000000000"/>
            <w:tcW w:w="6521" w:type="dxa"/>
            <w:shd w:val="clear" w:color="auto" w:fill="auto"/>
          </w:tcPr>
          <w:p w:rsidR="004807DD" w:rsidRPr="001D011F" w:rsidRDefault="004807DD" w:rsidP="004807DD">
            <w:pPr>
              <w:pStyle w:val="Paragraphedeliste"/>
              <w:shd w:val="clear" w:color="auto" w:fill="F2DBDB" w:themeFill="accent2" w:themeFillTint="33"/>
              <w:tabs>
                <w:tab w:val="left" w:pos="1026"/>
              </w:tabs>
              <w:ind w:left="11"/>
              <w:rPr>
                <w:snapToGrid w:val="0"/>
                <w:lang w:eastAsia="ar-MA"/>
              </w:rPr>
            </w:pPr>
            <w:r w:rsidRPr="001D011F">
              <w:rPr>
                <w:snapToGrid w:val="0"/>
                <w:lang w:eastAsia="ar-MA"/>
              </w:rPr>
              <w:lastRenderedPageBreak/>
              <w:t>Formation continue dans le cadre de la coopération</w:t>
            </w:r>
          </w:p>
          <w:p w:rsidR="004807DD" w:rsidRPr="0027768D" w:rsidRDefault="003A43E3" w:rsidP="00F10097">
            <w:pPr>
              <w:pStyle w:val="Paragraphedeliste"/>
              <w:numPr>
                <w:ilvl w:val="0"/>
                <w:numId w:val="34"/>
              </w:numPr>
              <w:tabs>
                <w:tab w:val="left" w:pos="1026"/>
              </w:tabs>
              <w:spacing w:before="0"/>
              <w:ind w:left="371"/>
              <w:rPr>
                <w:snapToGrid w:val="0"/>
                <w:color w:val="0000FF"/>
                <w:sz w:val="18"/>
                <w:szCs w:val="18"/>
                <w:lang w:eastAsia="ar-MA"/>
              </w:rPr>
            </w:pPr>
            <w:r>
              <w:rPr>
                <w:snapToGrid w:val="0"/>
                <w:color w:val="0000FF"/>
                <w:sz w:val="18"/>
                <w:szCs w:val="18"/>
                <w:lang w:eastAsia="ar-MA"/>
              </w:rPr>
              <w:t>A</w:t>
            </w:r>
            <w:r w:rsidR="004807DD" w:rsidRPr="0027768D">
              <w:rPr>
                <w:snapToGrid w:val="0"/>
                <w:color w:val="0000FF"/>
                <w:sz w:val="18"/>
                <w:szCs w:val="18"/>
                <w:lang w:eastAsia="ar-MA"/>
              </w:rPr>
              <w:t>vec la Fra</w:t>
            </w:r>
            <w:r w:rsidR="00F10097">
              <w:rPr>
                <w:snapToGrid w:val="0"/>
                <w:color w:val="0000FF"/>
                <w:sz w:val="18"/>
                <w:szCs w:val="18"/>
                <w:lang w:eastAsia="ar-MA"/>
              </w:rPr>
              <w:t>nce (GIP International)</w:t>
            </w:r>
            <w:r w:rsidR="004807DD" w:rsidRPr="0027768D">
              <w:rPr>
                <w:snapToGrid w:val="0"/>
                <w:color w:val="0000FF"/>
                <w:sz w:val="18"/>
                <w:szCs w:val="18"/>
                <w:lang w:eastAsia="ar-MA"/>
              </w:rPr>
              <w:t>:</w:t>
            </w:r>
          </w:p>
          <w:p w:rsidR="004807DD" w:rsidRPr="00020054" w:rsidRDefault="004807DD" w:rsidP="004807DD">
            <w:pPr>
              <w:pStyle w:val="Paragraphedeliste"/>
              <w:numPr>
                <w:ilvl w:val="0"/>
                <w:numId w:val="33"/>
              </w:numPr>
              <w:spacing w:before="0"/>
              <w:ind w:left="540"/>
              <w:rPr>
                <w:sz w:val="18"/>
                <w:szCs w:val="18"/>
              </w:rPr>
            </w:pPr>
            <w:r w:rsidRPr="00020054">
              <w:rPr>
                <w:sz w:val="18"/>
                <w:szCs w:val="18"/>
              </w:rPr>
              <w:t>Formation des formateurs en conciliation dans le cadre des conflits collectifs de travail</w:t>
            </w:r>
          </w:p>
          <w:p w:rsidR="004807DD" w:rsidRPr="00020054" w:rsidRDefault="004807DD" w:rsidP="004807DD">
            <w:pPr>
              <w:pStyle w:val="Paragraphedeliste"/>
              <w:numPr>
                <w:ilvl w:val="0"/>
                <w:numId w:val="33"/>
              </w:numPr>
              <w:spacing w:before="0" w:after="200"/>
              <w:ind w:left="540"/>
              <w:rPr>
                <w:sz w:val="18"/>
                <w:szCs w:val="18"/>
              </w:rPr>
            </w:pPr>
            <w:r w:rsidRPr="00020054">
              <w:rPr>
                <w:sz w:val="18"/>
                <w:szCs w:val="18"/>
              </w:rPr>
              <w:t>Conception des programmes de formation au profit des réseaux des inspecteurs de travail durant les mois de Février et mars 2012</w:t>
            </w:r>
          </w:p>
          <w:p w:rsidR="004807DD" w:rsidRPr="0027768D" w:rsidRDefault="003A43E3" w:rsidP="004807DD">
            <w:pPr>
              <w:pStyle w:val="Paragraphedeliste"/>
              <w:numPr>
                <w:ilvl w:val="0"/>
                <w:numId w:val="34"/>
              </w:numPr>
              <w:tabs>
                <w:tab w:val="left" w:pos="1026"/>
              </w:tabs>
              <w:spacing w:before="0"/>
              <w:ind w:left="371"/>
              <w:rPr>
                <w:snapToGrid w:val="0"/>
                <w:color w:val="0000FF"/>
                <w:sz w:val="18"/>
                <w:szCs w:val="18"/>
                <w:lang w:eastAsia="ar-MA"/>
              </w:rPr>
            </w:pPr>
            <w:r>
              <w:rPr>
                <w:snapToGrid w:val="0"/>
                <w:color w:val="0000FF"/>
                <w:sz w:val="18"/>
                <w:szCs w:val="18"/>
                <w:lang w:eastAsia="ar-MA"/>
              </w:rPr>
              <w:t>A</w:t>
            </w:r>
            <w:r w:rsidR="004807DD" w:rsidRPr="0027768D">
              <w:rPr>
                <w:snapToGrid w:val="0"/>
                <w:color w:val="0000FF"/>
                <w:sz w:val="18"/>
                <w:szCs w:val="18"/>
                <w:lang w:eastAsia="ar-MA"/>
              </w:rPr>
              <w:t>vec l’Espagne (AECID)</w:t>
            </w:r>
          </w:p>
          <w:p w:rsidR="004807DD" w:rsidRPr="00020054" w:rsidRDefault="004807DD" w:rsidP="0022387E">
            <w:pPr>
              <w:pStyle w:val="Paragraphedeliste"/>
              <w:numPr>
                <w:ilvl w:val="0"/>
                <w:numId w:val="33"/>
              </w:numPr>
              <w:spacing w:before="0"/>
              <w:ind w:left="540"/>
              <w:rPr>
                <w:sz w:val="18"/>
                <w:szCs w:val="18"/>
              </w:rPr>
            </w:pPr>
            <w:r w:rsidRPr="00020054">
              <w:rPr>
                <w:sz w:val="18"/>
                <w:szCs w:val="18"/>
              </w:rPr>
              <w:t>Formation des fonctionnaires des délégations dans les d</w:t>
            </w:r>
            <w:r w:rsidR="0022387E">
              <w:rPr>
                <w:sz w:val="18"/>
                <w:szCs w:val="18"/>
              </w:rPr>
              <w:t xml:space="preserve">omaines de la Santé et sécurité, le </w:t>
            </w:r>
            <w:r w:rsidRPr="00020054">
              <w:rPr>
                <w:sz w:val="18"/>
                <w:szCs w:val="18"/>
              </w:rPr>
              <w:t xml:space="preserve">travail des enfants et </w:t>
            </w:r>
            <w:r w:rsidR="0022387E">
              <w:rPr>
                <w:sz w:val="18"/>
                <w:szCs w:val="18"/>
              </w:rPr>
              <w:t>l’</w:t>
            </w:r>
            <w:r w:rsidRPr="00020054">
              <w:rPr>
                <w:sz w:val="18"/>
                <w:szCs w:val="18"/>
              </w:rPr>
              <w:t>IT.</w:t>
            </w:r>
          </w:p>
          <w:p w:rsidR="004807DD" w:rsidRPr="00020054" w:rsidRDefault="004807DD" w:rsidP="004807DD">
            <w:pPr>
              <w:pStyle w:val="Paragraphedeliste"/>
              <w:numPr>
                <w:ilvl w:val="0"/>
                <w:numId w:val="33"/>
              </w:numPr>
              <w:spacing w:before="0"/>
              <w:ind w:left="540"/>
              <w:rPr>
                <w:sz w:val="18"/>
                <w:szCs w:val="18"/>
              </w:rPr>
            </w:pPr>
            <w:r w:rsidRPr="00020054">
              <w:rPr>
                <w:sz w:val="18"/>
                <w:szCs w:val="18"/>
              </w:rPr>
              <w:t xml:space="preserve">220 cadres du corps </w:t>
            </w:r>
            <w:proofErr w:type="spellStart"/>
            <w:r w:rsidRPr="00020054">
              <w:rPr>
                <w:sz w:val="18"/>
                <w:szCs w:val="18"/>
              </w:rPr>
              <w:t>inspectoral</w:t>
            </w:r>
            <w:proofErr w:type="spellEnd"/>
            <w:r w:rsidRPr="00020054">
              <w:rPr>
                <w:sz w:val="18"/>
                <w:szCs w:val="18"/>
              </w:rPr>
              <w:t xml:space="preserve"> ont bénéficiés de ses sessions de formation.</w:t>
            </w:r>
          </w:p>
          <w:p w:rsidR="004807DD" w:rsidRPr="0027768D" w:rsidRDefault="003A43E3" w:rsidP="004807DD">
            <w:pPr>
              <w:pStyle w:val="Paragraphedeliste"/>
              <w:numPr>
                <w:ilvl w:val="0"/>
                <w:numId w:val="34"/>
              </w:numPr>
              <w:tabs>
                <w:tab w:val="left" w:pos="1026"/>
              </w:tabs>
              <w:spacing w:before="0"/>
              <w:ind w:left="371"/>
              <w:rPr>
                <w:snapToGrid w:val="0"/>
                <w:color w:val="0000FF"/>
                <w:sz w:val="18"/>
                <w:szCs w:val="18"/>
                <w:lang w:eastAsia="ar-MA"/>
              </w:rPr>
            </w:pPr>
            <w:r>
              <w:rPr>
                <w:snapToGrid w:val="0"/>
                <w:color w:val="0000FF"/>
                <w:sz w:val="18"/>
                <w:szCs w:val="18"/>
                <w:lang w:eastAsia="ar-MA"/>
              </w:rPr>
              <w:t xml:space="preserve">Avec </w:t>
            </w:r>
            <w:r w:rsidR="004807DD">
              <w:rPr>
                <w:snapToGrid w:val="0"/>
                <w:color w:val="0000FF"/>
                <w:sz w:val="18"/>
                <w:szCs w:val="18"/>
                <w:lang w:eastAsia="ar-MA"/>
              </w:rPr>
              <w:t xml:space="preserve"> le Bureau International du Travail (</w:t>
            </w:r>
            <w:r w:rsidR="004807DD" w:rsidRPr="0027768D">
              <w:rPr>
                <w:snapToGrid w:val="0"/>
                <w:color w:val="0000FF"/>
                <w:sz w:val="18"/>
                <w:szCs w:val="18"/>
                <w:lang w:eastAsia="ar-MA"/>
              </w:rPr>
              <w:t>BIT</w:t>
            </w:r>
            <w:r w:rsidR="004807DD">
              <w:rPr>
                <w:snapToGrid w:val="0"/>
                <w:color w:val="0000FF"/>
                <w:sz w:val="18"/>
                <w:szCs w:val="18"/>
                <w:lang w:eastAsia="ar-MA"/>
              </w:rPr>
              <w:t>)</w:t>
            </w:r>
            <w:r w:rsidR="004807DD" w:rsidRPr="0027768D">
              <w:rPr>
                <w:snapToGrid w:val="0"/>
                <w:color w:val="0000FF"/>
                <w:sz w:val="18"/>
                <w:szCs w:val="18"/>
                <w:lang w:eastAsia="ar-MA"/>
              </w:rPr>
              <w:t>.</w:t>
            </w:r>
          </w:p>
          <w:p w:rsidR="004807DD" w:rsidRPr="00020054" w:rsidRDefault="004807DD" w:rsidP="004807DD">
            <w:pPr>
              <w:pStyle w:val="Paragraphedeliste"/>
              <w:numPr>
                <w:ilvl w:val="0"/>
                <w:numId w:val="33"/>
              </w:numPr>
              <w:spacing w:before="0"/>
              <w:ind w:left="540"/>
              <w:rPr>
                <w:sz w:val="18"/>
                <w:szCs w:val="18"/>
              </w:rPr>
            </w:pPr>
            <w:r w:rsidRPr="00020054">
              <w:rPr>
                <w:sz w:val="18"/>
                <w:szCs w:val="18"/>
              </w:rPr>
              <w:t xml:space="preserve">Organisation des sessions de formation au niveau de la région de rabat salé </w:t>
            </w:r>
            <w:proofErr w:type="spellStart"/>
            <w:r w:rsidRPr="00020054">
              <w:rPr>
                <w:sz w:val="18"/>
                <w:szCs w:val="18"/>
              </w:rPr>
              <w:t>Zemmour</w:t>
            </w:r>
            <w:proofErr w:type="spellEnd"/>
            <w:r w:rsidRPr="00020054">
              <w:rPr>
                <w:sz w:val="18"/>
                <w:szCs w:val="18"/>
              </w:rPr>
              <w:t xml:space="preserve"> </w:t>
            </w:r>
            <w:proofErr w:type="spellStart"/>
            <w:r w:rsidRPr="00020054">
              <w:rPr>
                <w:sz w:val="18"/>
                <w:szCs w:val="18"/>
              </w:rPr>
              <w:t>Zair</w:t>
            </w:r>
            <w:proofErr w:type="spellEnd"/>
            <w:r w:rsidRPr="00020054">
              <w:rPr>
                <w:sz w:val="18"/>
                <w:szCs w:val="18"/>
              </w:rPr>
              <w:t xml:space="preserve"> et </w:t>
            </w:r>
            <w:proofErr w:type="spellStart"/>
            <w:r w:rsidRPr="00020054">
              <w:rPr>
                <w:sz w:val="18"/>
                <w:szCs w:val="18"/>
              </w:rPr>
              <w:t>lgharb</w:t>
            </w:r>
            <w:proofErr w:type="spellEnd"/>
            <w:r w:rsidRPr="00020054">
              <w:rPr>
                <w:sz w:val="18"/>
                <w:szCs w:val="18"/>
              </w:rPr>
              <w:t xml:space="preserve"> </w:t>
            </w:r>
            <w:proofErr w:type="spellStart"/>
            <w:r w:rsidRPr="00020054">
              <w:rPr>
                <w:sz w:val="18"/>
                <w:szCs w:val="18"/>
              </w:rPr>
              <w:t>Chrarda</w:t>
            </w:r>
            <w:proofErr w:type="spellEnd"/>
            <w:r w:rsidRPr="00020054">
              <w:rPr>
                <w:sz w:val="18"/>
                <w:szCs w:val="18"/>
              </w:rPr>
              <w:t xml:space="preserve"> </w:t>
            </w:r>
            <w:proofErr w:type="spellStart"/>
            <w:r w:rsidRPr="00020054">
              <w:rPr>
                <w:sz w:val="18"/>
                <w:szCs w:val="18"/>
              </w:rPr>
              <w:t>bni</w:t>
            </w:r>
            <w:proofErr w:type="spellEnd"/>
            <w:r w:rsidRPr="00020054">
              <w:rPr>
                <w:sz w:val="18"/>
                <w:szCs w:val="18"/>
              </w:rPr>
              <w:t xml:space="preserve"> </w:t>
            </w:r>
            <w:proofErr w:type="spellStart"/>
            <w:r w:rsidRPr="00020054">
              <w:rPr>
                <w:sz w:val="18"/>
                <w:szCs w:val="18"/>
              </w:rPr>
              <w:t>Hssan</w:t>
            </w:r>
            <w:proofErr w:type="spellEnd"/>
            <w:r w:rsidRPr="00020054">
              <w:rPr>
                <w:sz w:val="18"/>
                <w:szCs w:val="18"/>
              </w:rPr>
              <w:t>, durant le mois de janvier 2013 dans le domaine de « Principes et droit fondamentaux au travail pour</w:t>
            </w:r>
            <w:r w:rsidR="0022387E">
              <w:rPr>
                <w:sz w:val="18"/>
                <w:szCs w:val="18"/>
              </w:rPr>
              <w:t xml:space="preserve"> les</w:t>
            </w:r>
            <w:r w:rsidRPr="00020054">
              <w:rPr>
                <w:sz w:val="18"/>
                <w:szCs w:val="18"/>
              </w:rPr>
              <w:t xml:space="preserve"> IT ». </w:t>
            </w:r>
          </w:p>
          <w:p w:rsidR="004807DD" w:rsidRPr="004807DD" w:rsidRDefault="004807DD" w:rsidP="004807DD">
            <w:pPr>
              <w:pStyle w:val="Paragraphedeliste"/>
              <w:numPr>
                <w:ilvl w:val="0"/>
                <w:numId w:val="33"/>
              </w:numPr>
              <w:spacing w:before="0"/>
              <w:ind w:left="540"/>
              <w:rPr>
                <w:b w:val="0"/>
                <w:bCs w:val="0"/>
                <w:snapToGrid w:val="0"/>
                <w:lang w:eastAsia="ar-MA"/>
              </w:rPr>
            </w:pPr>
            <w:r w:rsidRPr="00020054">
              <w:rPr>
                <w:sz w:val="18"/>
                <w:szCs w:val="18"/>
              </w:rPr>
              <w:t xml:space="preserve">75 cadres du corps </w:t>
            </w:r>
            <w:proofErr w:type="spellStart"/>
            <w:r w:rsidRPr="00020054">
              <w:rPr>
                <w:sz w:val="18"/>
                <w:szCs w:val="18"/>
              </w:rPr>
              <w:t>inspectoral</w:t>
            </w:r>
            <w:proofErr w:type="spellEnd"/>
            <w:r w:rsidRPr="00020054">
              <w:rPr>
                <w:sz w:val="18"/>
                <w:szCs w:val="18"/>
              </w:rPr>
              <w:t xml:space="preserve"> ont bénéficié de </w:t>
            </w:r>
            <w:r>
              <w:rPr>
                <w:sz w:val="18"/>
                <w:szCs w:val="18"/>
              </w:rPr>
              <w:t>ces</w:t>
            </w:r>
            <w:r w:rsidRPr="00020054">
              <w:rPr>
                <w:sz w:val="18"/>
                <w:szCs w:val="18"/>
              </w:rPr>
              <w:t xml:space="preserve"> sessions de formation.</w:t>
            </w:r>
          </w:p>
          <w:p w:rsidR="004807DD" w:rsidRPr="004807DD" w:rsidRDefault="004807DD" w:rsidP="004807DD">
            <w:pPr>
              <w:pStyle w:val="Paragraphedeliste"/>
              <w:numPr>
                <w:ilvl w:val="0"/>
                <w:numId w:val="33"/>
              </w:numPr>
              <w:spacing w:before="0"/>
              <w:ind w:left="540"/>
              <w:rPr>
                <w:b w:val="0"/>
                <w:bCs w:val="0"/>
                <w:snapToGrid w:val="0"/>
                <w:rtl/>
                <w:lang w:eastAsia="ar-MA"/>
              </w:rPr>
            </w:pPr>
            <w:r w:rsidRPr="00020054">
              <w:rPr>
                <w:sz w:val="18"/>
                <w:szCs w:val="18"/>
              </w:rPr>
              <w:t xml:space="preserve"> Les mêmes sessions de formation seront organisées au niveau des autres régions durant la pé</w:t>
            </w:r>
            <w:r>
              <w:rPr>
                <w:sz w:val="18"/>
                <w:szCs w:val="18"/>
              </w:rPr>
              <w:t xml:space="preserve">riode de Février-Septembre 2013, </w:t>
            </w:r>
            <w:r w:rsidRPr="00020054">
              <w:rPr>
                <w:sz w:val="18"/>
                <w:szCs w:val="18"/>
              </w:rPr>
              <w:t xml:space="preserve">500 cadres du corps </w:t>
            </w:r>
            <w:proofErr w:type="spellStart"/>
            <w:r w:rsidRPr="00020054">
              <w:rPr>
                <w:sz w:val="18"/>
                <w:szCs w:val="18"/>
              </w:rPr>
              <w:t>inspectoral</w:t>
            </w:r>
            <w:proofErr w:type="spellEnd"/>
            <w:r w:rsidRPr="00020054">
              <w:rPr>
                <w:sz w:val="18"/>
                <w:szCs w:val="18"/>
              </w:rPr>
              <w:t xml:space="preserve"> vont bénéficier de ses sessions de formation.</w:t>
            </w:r>
          </w:p>
        </w:tc>
        <w:tc>
          <w:tcPr>
            <w:tcW w:w="4656" w:type="dxa"/>
            <w:shd w:val="clear" w:color="auto" w:fill="auto"/>
          </w:tcPr>
          <w:p w:rsidR="004807DD" w:rsidRDefault="004807DD" w:rsidP="004807DD">
            <w:pPr>
              <w:pStyle w:val="Paragraphedeliste"/>
              <w:shd w:val="clear" w:color="auto" w:fill="F2DBDB" w:themeFill="accent2" w:themeFillTint="33"/>
              <w:tabs>
                <w:tab w:val="left" w:pos="1026"/>
              </w:tabs>
              <w:ind w:left="11"/>
              <w:cnfStyle w:val="100000000000"/>
              <w:rPr>
                <w:snapToGrid w:val="0"/>
                <w:lang w:eastAsia="ar-MA"/>
              </w:rPr>
            </w:pPr>
            <w:r w:rsidRPr="00FA0F5B">
              <w:rPr>
                <w:snapToGrid w:val="0"/>
                <w:lang w:eastAsia="ar-MA"/>
              </w:rPr>
              <w:t>Bilan des actions de formation au titre des années 2010-2011-2012</w:t>
            </w:r>
          </w:p>
          <w:p w:rsidR="004807DD" w:rsidRPr="004807DD" w:rsidRDefault="004807DD" w:rsidP="004807DD">
            <w:pPr>
              <w:pStyle w:val="Paragraphedeliste"/>
              <w:tabs>
                <w:tab w:val="left" w:pos="1026"/>
              </w:tabs>
              <w:ind w:left="11"/>
              <w:cnfStyle w:val="100000000000"/>
              <w:rPr>
                <w:snapToGrid w:val="0"/>
                <w:lang w:eastAsia="ar-MA"/>
              </w:rPr>
            </w:pPr>
          </w:p>
          <w:p w:rsidR="004807DD" w:rsidRPr="00981C88" w:rsidRDefault="004807DD" w:rsidP="004807DD">
            <w:pPr>
              <w:jc w:val="center"/>
              <w:cnfStyle w:val="100000000000"/>
              <w:rPr>
                <w:rtl/>
                <w:lang w:eastAsia="ar-MA" w:bidi="ar-MA"/>
              </w:rPr>
            </w:pPr>
            <w:r w:rsidRPr="004807DD">
              <w:rPr>
                <w:noProof/>
                <w:snapToGrid w:val="0"/>
                <w:lang w:eastAsia="fr-FR"/>
              </w:rPr>
              <w:drawing>
                <wp:inline distT="0" distB="0" distL="0" distR="0">
                  <wp:extent cx="2790825" cy="2019300"/>
                  <wp:effectExtent l="19050" t="0" r="9525" b="0"/>
                  <wp:docPr id="10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FB1138" w:rsidRPr="00FA0F5B" w:rsidRDefault="00FB1138" w:rsidP="00FA0F5B">
      <w:pPr>
        <w:ind w:left="-1417" w:right="-1417"/>
        <w:jc w:val="center"/>
        <w:rPr>
          <w:color w:val="FFFFFF" w:themeColor="background1"/>
          <w:sz w:val="2"/>
          <w:szCs w:val="2"/>
        </w:rPr>
      </w:pPr>
    </w:p>
    <w:p w:rsidR="00FA0F5B" w:rsidRPr="00005B8C" w:rsidRDefault="00FA0F5B" w:rsidP="00FA0F5B">
      <w:pPr>
        <w:shd w:val="clear" w:color="auto" w:fill="4F6228" w:themeFill="accent3" w:themeFillShade="80"/>
        <w:ind w:left="-1417" w:right="-1417"/>
        <w:jc w:val="center"/>
        <w:rPr>
          <w:b/>
          <w:bCs/>
          <w:color w:val="FFFFFF" w:themeColor="background1"/>
          <w:sz w:val="56"/>
          <w:szCs w:val="56"/>
          <w:rtl/>
          <w:lang w:bidi="ar-MA"/>
        </w:rPr>
      </w:pPr>
      <w:r w:rsidRPr="00005B8C">
        <w:rPr>
          <w:color w:val="FFFFFF" w:themeColor="background1"/>
          <w:sz w:val="40"/>
          <w:szCs w:val="40"/>
        </w:rPr>
        <w:t>Indicateurs relatifs aux Ressources Financières et à l’Equipement</w:t>
      </w:r>
    </w:p>
    <w:tbl>
      <w:tblPr>
        <w:tblStyle w:val="Listeclaire-Accent3"/>
        <w:bidiVisual/>
        <w:tblW w:w="5781" w:type="pct"/>
        <w:jc w:val="center"/>
        <w:tblInd w:w="-1212" w:type="dxa"/>
        <w:tblBorders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/>
      </w:tblPr>
      <w:tblGrid>
        <w:gridCol w:w="10703"/>
        <w:gridCol w:w="36"/>
      </w:tblGrid>
      <w:tr w:rsidR="009F46DF" w:rsidTr="00010BEF">
        <w:trPr>
          <w:cnfStyle w:val="100000000000"/>
          <w:trHeight w:val="354"/>
          <w:jc w:val="center"/>
        </w:trPr>
        <w:tc>
          <w:tcPr>
            <w:cnfStyle w:val="001000000000"/>
            <w:tcW w:w="10739" w:type="dxa"/>
            <w:gridSpan w:val="2"/>
          </w:tcPr>
          <w:p w:rsidR="009F46DF" w:rsidRPr="001805B7" w:rsidRDefault="005E3FEE" w:rsidP="004807DD">
            <w:pPr>
              <w:pStyle w:val="Paragraphedeliste"/>
              <w:tabs>
                <w:tab w:val="left" w:pos="1134"/>
              </w:tabs>
              <w:spacing w:before="0"/>
              <w:ind w:hanging="720"/>
              <w:rPr>
                <w:sz w:val="32"/>
                <w:szCs w:val="32"/>
                <w:rtl/>
                <w:lang w:bidi="ar-MA"/>
              </w:rPr>
            </w:pPr>
            <w:r w:rsidRPr="005E3FEE">
              <w:rPr>
                <w:sz w:val="24"/>
                <w:szCs w:val="24"/>
                <w:lang w:bidi="ar-MA"/>
              </w:rPr>
              <w:t>Budget du Département de l’Emploi au titre des années 2011 et 2012</w:t>
            </w:r>
            <w:r w:rsidRPr="00D54F68">
              <w:rPr>
                <w:sz w:val="32"/>
                <w:szCs w:val="32"/>
                <w:lang w:bidi="ar-MA"/>
              </w:rPr>
              <w:t xml:space="preserve"> </w:t>
            </w:r>
            <w:r w:rsidRPr="00D54F68">
              <w:rPr>
                <w:rFonts w:hint="cs"/>
                <w:sz w:val="32"/>
                <w:szCs w:val="32"/>
                <w:rtl/>
                <w:lang w:bidi="ar-MA"/>
              </w:rPr>
              <w:t>:</w:t>
            </w:r>
          </w:p>
        </w:tc>
      </w:tr>
      <w:tr w:rsidR="009F46DF" w:rsidTr="0022387E">
        <w:trPr>
          <w:cnfStyle w:val="000000100000"/>
          <w:trHeight w:val="473"/>
          <w:jc w:val="center"/>
        </w:trPr>
        <w:tc>
          <w:tcPr>
            <w:cnfStyle w:val="001000000000"/>
            <w:tcW w:w="10739" w:type="dxa"/>
            <w:gridSpan w:val="2"/>
          </w:tcPr>
          <w:p w:rsidR="00D337C9" w:rsidRPr="0027768D" w:rsidRDefault="00D337C9" w:rsidP="0017626D">
            <w:pPr>
              <w:pStyle w:val="Paragraphedeliste"/>
              <w:numPr>
                <w:ilvl w:val="0"/>
                <w:numId w:val="36"/>
              </w:numPr>
              <w:spacing w:before="0" w:line="240" w:lineRule="atLeast"/>
              <w:ind w:left="299" w:hanging="283"/>
              <w:jc w:val="both"/>
              <w:rPr>
                <w:sz w:val="18"/>
                <w:szCs w:val="18"/>
              </w:rPr>
            </w:pPr>
            <w:r w:rsidRPr="0027768D">
              <w:rPr>
                <w:sz w:val="18"/>
                <w:szCs w:val="18"/>
              </w:rPr>
              <w:t>Le budget relatif au personnel a connu une augmentation de 13.53 %, due à la promotion interne et au recrutement en 2011;</w:t>
            </w:r>
          </w:p>
          <w:p w:rsidR="009F46DF" w:rsidRPr="00E22589" w:rsidRDefault="00D337C9" w:rsidP="0022387E">
            <w:pPr>
              <w:pStyle w:val="Paragraphedeliste"/>
              <w:numPr>
                <w:ilvl w:val="0"/>
                <w:numId w:val="36"/>
              </w:numPr>
              <w:spacing w:before="0" w:line="240" w:lineRule="atLeast"/>
              <w:ind w:left="299" w:hanging="283"/>
              <w:jc w:val="both"/>
              <w:rPr>
                <w:rFonts w:ascii="Calibri" w:eastAsia="Times New Roman" w:hAnsi="Calibri" w:cs="Arabic Transparent"/>
                <w:b w:val="0"/>
                <w:bCs w:val="0"/>
                <w:snapToGrid w:val="0"/>
                <w:sz w:val="28"/>
                <w:szCs w:val="28"/>
                <w:lang w:bidi="ar-MA"/>
              </w:rPr>
            </w:pPr>
            <w:r w:rsidRPr="0027768D">
              <w:rPr>
                <w:sz w:val="18"/>
                <w:szCs w:val="18"/>
              </w:rPr>
              <w:t xml:space="preserve">Le budget d’investissement a subi une légère réduction de 0.21 %, malgré la baisse enregistré au niveau des crédits de construction </w:t>
            </w:r>
            <w:r w:rsidR="0022387E">
              <w:rPr>
                <w:sz w:val="18"/>
                <w:szCs w:val="18"/>
              </w:rPr>
              <w:t xml:space="preserve">et d’équipement </w:t>
            </w:r>
            <w:r w:rsidRPr="0027768D">
              <w:rPr>
                <w:sz w:val="18"/>
                <w:szCs w:val="18"/>
              </w:rPr>
              <w:t xml:space="preserve">du nouveau siège du Département avec un taux de 950 %. </w:t>
            </w:r>
          </w:p>
          <w:p w:rsidR="00E22589" w:rsidRPr="00E22589" w:rsidRDefault="00E22589" w:rsidP="00E22589">
            <w:pPr>
              <w:spacing w:line="240" w:lineRule="atLeast"/>
              <w:jc w:val="both"/>
              <w:rPr>
                <w:rFonts w:ascii="Calibri" w:eastAsia="Times New Roman" w:hAnsi="Calibri" w:cs="Arabic Transparent"/>
                <w:snapToGrid w:val="0"/>
                <w:sz w:val="28"/>
                <w:szCs w:val="28"/>
                <w:rtl/>
                <w:lang w:bidi="ar-MA"/>
              </w:rPr>
            </w:pPr>
          </w:p>
        </w:tc>
      </w:tr>
      <w:tr w:rsidR="009F46DF" w:rsidTr="00A30E99">
        <w:trPr>
          <w:trHeight w:val="1990"/>
          <w:jc w:val="center"/>
        </w:trPr>
        <w:tc>
          <w:tcPr>
            <w:cnfStyle w:val="001000000000"/>
            <w:tcW w:w="10739" w:type="dxa"/>
            <w:gridSpan w:val="2"/>
          </w:tcPr>
          <w:tbl>
            <w:tblPr>
              <w:tblW w:w="923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769"/>
              <w:gridCol w:w="1505"/>
              <w:gridCol w:w="1186"/>
              <w:gridCol w:w="1495"/>
              <w:gridCol w:w="1046"/>
              <w:gridCol w:w="1235"/>
            </w:tblGrid>
            <w:tr w:rsidR="003D41D4" w:rsidRPr="00B87C4B" w:rsidTr="004807DD">
              <w:trPr>
                <w:trHeight w:hRule="exact" w:val="352"/>
                <w:jc w:val="center"/>
              </w:trPr>
              <w:tc>
                <w:tcPr>
                  <w:tcW w:w="4274" w:type="dxa"/>
                  <w:gridSpan w:val="2"/>
                  <w:vMerge w:val="restart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nil"/>
                  </w:tcBorders>
                  <w:shd w:val="clear" w:color="000000" w:fill="E46C0A"/>
                  <w:vAlign w:val="center"/>
                  <w:hideMark/>
                </w:tcPr>
                <w:p w:rsidR="003D41D4" w:rsidRPr="00B87C4B" w:rsidRDefault="003D41D4" w:rsidP="00290AC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>Chapitre</w:t>
                  </w:r>
                  <w:r w:rsidRPr="00B87C4B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2681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000000" w:fill="E46C0A"/>
                  <w:vAlign w:val="center"/>
                  <w:hideMark/>
                </w:tcPr>
                <w:p w:rsidR="003D41D4" w:rsidRPr="00B87C4B" w:rsidRDefault="003D41D4" w:rsidP="00290AC1">
                  <w:pPr>
                    <w:bidi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>Crédits ouverts</w:t>
                  </w:r>
                  <w:r w:rsidRPr="00B87C4B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2281" w:type="dxa"/>
                  <w:gridSpan w:val="2"/>
                  <w:tcBorders>
                    <w:top w:val="single" w:sz="8" w:space="0" w:color="FFFFFF"/>
                    <w:left w:val="nil"/>
                    <w:bottom w:val="single" w:sz="12" w:space="0" w:color="FFFFFF"/>
                    <w:right w:val="single" w:sz="8" w:space="0" w:color="FFFFFF"/>
                  </w:tcBorders>
                  <w:shd w:val="clear" w:color="000000" w:fill="E46C0A"/>
                  <w:vAlign w:val="center"/>
                  <w:hideMark/>
                </w:tcPr>
                <w:p w:rsidR="003D41D4" w:rsidRPr="00B87C4B" w:rsidRDefault="003D41D4" w:rsidP="00290AC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>évolution</w:t>
                  </w:r>
                  <w:r w:rsidRPr="00B87C4B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 xml:space="preserve"> </w:t>
                  </w:r>
                </w:p>
              </w:tc>
            </w:tr>
            <w:tr w:rsidR="003D41D4" w:rsidRPr="00B87C4B" w:rsidTr="004807DD">
              <w:trPr>
                <w:trHeight w:hRule="exact" w:val="352"/>
                <w:jc w:val="center"/>
              </w:trPr>
              <w:tc>
                <w:tcPr>
                  <w:tcW w:w="4274" w:type="dxa"/>
                  <w:gridSpan w:val="2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nil"/>
                  </w:tcBorders>
                  <w:vAlign w:val="center"/>
                  <w:hideMark/>
                </w:tcPr>
                <w:p w:rsidR="003D41D4" w:rsidRPr="00B87C4B" w:rsidRDefault="003D41D4" w:rsidP="00290AC1">
                  <w:pP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376092"/>
                  <w:vAlign w:val="center"/>
                  <w:hideMark/>
                </w:tcPr>
                <w:p w:rsidR="003D41D4" w:rsidRPr="00B87C4B" w:rsidRDefault="003D41D4" w:rsidP="00290AC1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>2011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C0504D"/>
                  <w:vAlign w:val="center"/>
                  <w:hideMark/>
                </w:tcPr>
                <w:p w:rsidR="003D41D4" w:rsidRPr="00B87C4B" w:rsidRDefault="003D41D4" w:rsidP="00290AC1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>2012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46C0A"/>
                  <w:vAlign w:val="center"/>
                  <w:hideMark/>
                </w:tcPr>
                <w:p w:rsidR="003D41D4" w:rsidRPr="00B87C4B" w:rsidRDefault="003D41D4" w:rsidP="00290AC1">
                  <w:pPr>
                    <w:bidi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>écart</w:t>
                  </w:r>
                  <w:r w:rsidRPr="00B87C4B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 xml:space="preserve"> 2012/2011 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46C0A"/>
                  <w:vAlign w:val="center"/>
                  <w:hideMark/>
                </w:tcPr>
                <w:p w:rsidR="003D41D4" w:rsidRPr="00B87C4B" w:rsidRDefault="003D41D4" w:rsidP="00290AC1">
                  <w:pPr>
                    <w:bidi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18"/>
                      <w:szCs w:val="18"/>
                      <w:lang w:eastAsia="fr-FR"/>
                    </w:rPr>
                    <w:t xml:space="preserve">% </w:t>
                  </w:r>
                </w:p>
              </w:tc>
            </w:tr>
            <w:tr w:rsidR="003D41D4" w:rsidRPr="00B87C4B" w:rsidTr="004807DD">
              <w:trPr>
                <w:trHeight w:hRule="exact" w:val="233"/>
                <w:jc w:val="center"/>
              </w:trPr>
              <w:tc>
                <w:tcPr>
                  <w:tcW w:w="2769" w:type="dxa"/>
                  <w:vMerge w:val="restart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3D41D4" w:rsidRPr="00B87C4B" w:rsidRDefault="003D41D4" w:rsidP="00290AC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fonctionnement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3D41D4" w:rsidRPr="00B87C4B" w:rsidRDefault="003D41D4" w:rsidP="00290AC1">
                  <w:pPr>
                    <w:bidi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personnel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vAlign w:val="center"/>
                  <w:hideMark/>
                </w:tcPr>
                <w:p w:rsidR="003D41D4" w:rsidRPr="00B87C4B" w:rsidRDefault="003D41D4" w:rsidP="00290AC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145 042 000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8CBCB"/>
                  <w:vAlign w:val="center"/>
                  <w:hideMark/>
                </w:tcPr>
                <w:p w:rsidR="003D41D4" w:rsidRPr="00B87C4B" w:rsidRDefault="003D41D4" w:rsidP="00290AC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164 668 000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3D41D4" w:rsidRPr="00B87C4B" w:rsidRDefault="003D41D4" w:rsidP="00290AC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19 626 000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3D41D4" w:rsidRPr="00B87C4B" w:rsidRDefault="003D41D4" w:rsidP="00290AC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13,53%</w:t>
                  </w:r>
                </w:p>
              </w:tc>
            </w:tr>
            <w:tr w:rsidR="003D41D4" w:rsidRPr="00B87C4B" w:rsidTr="004807DD">
              <w:trPr>
                <w:trHeight w:hRule="exact" w:val="268"/>
                <w:jc w:val="center"/>
              </w:trPr>
              <w:tc>
                <w:tcPr>
                  <w:tcW w:w="2769" w:type="dxa"/>
                  <w:vMerge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:rsidR="003D41D4" w:rsidRPr="00B87C4B" w:rsidRDefault="003D41D4" w:rsidP="00290AC1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3D41D4" w:rsidRPr="00B87C4B" w:rsidRDefault="003D41D4" w:rsidP="00290AC1">
                  <w:pPr>
                    <w:bidi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Matériels et dépenses divers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vAlign w:val="center"/>
                  <w:hideMark/>
                </w:tcPr>
                <w:p w:rsidR="003D41D4" w:rsidRPr="00B87C4B" w:rsidRDefault="003D41D4" w:rsidP="00290AC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85 000 </w:t>
                  </w:r>
                  <w:proofErr w:type="spellStart"/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000</w:t>
                  </w:r>
                  <w:proofErr w:type="spellEnd"/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8CBCB"/>
                  <w:vAlign w:val="center"/>
                  <w:hideMark/>
                </w:tcPr>
                <w:p w:rsidR="003D41D4" w:rsidRPr="00B87C4B" w:rsidRDefault="003D41D4" w:rsidP="00290AC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84 650 000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3D41D4" w:rsidRPr="00B87C4B" w:rsidRDefault="003D41D4" w:rsidP="00290AC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-350 000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3D41D4" w:rsidRPr="00B87C4B" w:rsidRDefault="003D41D4" w:rsidP="00290AC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-0,41%</w:t>
                  </w:r>
                </w:p>
              </w:tc>
            </w:tr>
            <w:tr w:rsidR="003D41D4" w:rsidRPr="00B87C4B" w:rsidTr="004807DD">
              <w:trPr>
                <w:trHeight w:hRule="exact" w:val="286"/>
                <w:jc w:val="center"/>
              </w:trPr>
              <w:tc>
                <w:tcPr>
                  <w:tcW w:w="4274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3D41D4" w:rsidRPr="00B87C4B" w:rsidRDefault="003D41D4" w:rsidP="00290AC1">
                  <w:pPr>
                    <w:bidi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investissement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vAlign w:val="center"/>
                  <w:hideMark/>
                </w:tcPr>
                <w:p w:rsidR="003D41D4" w:rsidRPr="00B87C4B" w:rsidRDefault="003D41D4" w:rsidP="00290AC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145 000 </w:t>
                  </w:r>
                  <w:proofErr w:type="spellStart"/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000</w:t>
                  </w:r>
                  <w:proofErr w:type="spellEnd"/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8CBCB"/>
                  <w:vAlign w:val="center"/>
                  <w:hideMark/>
                </w:tcPr>
                <w:p w:rsidR="003D41D4" w:rsidRPr="00B87C4B" w:rsidRDefault="003D41D4" w:rsidP="00290AC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144 700 000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3D41D4" w:rsidRPr="00B87C4B" w:rsidRDefault="003D41D4" w:rsidP="00290AC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-300 000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3D41D4" w:rsidRPr="00B87C4B" w:rsidRDefault="003D41D4" w:rsidP="00290AC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-0,21%</w:t>
                  </w:r>
                </w:p>
              </w:tc>
            </w:tr>
            <w:tr w:rsidR="003D41D4" w:rsidRPr="00B87C4B" w:rsidTr="004807DD">
              <w:trPr>
                <w:trHeight w:hRule="exact" w:val="352"/>
                <w:jc w:val="center"/>
              </w:trPr>
              <w:tc>
                <w:tcPr>
                  <w:tcW w:w="4274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3D41D4" w:rsidRPr="00B87C4B" w:rsidRDefault="003D41D4" w:rsidP="00290AC1">
                  <w:pPr>
                    <w:bidi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total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vAlign w:val="center"/>
                  <w:hideMark/>
                </w:tcPr>
                <w:p w:rsidR="003D41D4" w:rsidRPr="00B87C4B" w:rsidRDefault="003D41D4" w:rsidP="00290AC1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375 042 000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8CBCB"/>
                  <w:vAlign w:val="center"/>
                  <w:hideMark/>
                </w:tcPr>
                <w:p w:rsidR="003D41D4" w:rsidRPr="00B87C4B" w:rsidRDefault="003D41D4" w:rsidP="00290AC1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394 018 000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3D41D4" w:rsidRPr="00B87C4B" w:rsidRDefault="003D41D4" w:rsidP="00290AC1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18 976 000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3D41D4" w:rsidRPr="00B87C4B" w:rsidRDefault="003D41D4" w:rsidP="00290AC1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B87C4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5,06%</w:t>
                  </w:r>
                </w:p>
              </w:tc>
            </w:tr>
          </w:tbl>
          <w:p w:rsidR="003D41D4" w:rsidRDefault="003D41D4" w:rsidP="003D41D4">
            <w:pPr>
              <w:bidi/>
              <w:spacing w:line="240" w:lineRule="atLeast"/>
              <w:jc w:val="center"/>
              <w:rPr>
                <w:rFonts w:ascii="Calibri" w:eastAsia="Times New Roman" w:hAnsi="Calibri" w:cs="Arabic Transparent"/>
                <w:b w:val="0"/>
                <w:bCs w:val="0"/>
                <w:snapToGrid w:val="0"/>
                <w:sz w:val="28"/>
                <w:szCs w:val="28"/>
                <w:rtl/>
                <w:lang w:val="en-US" w:bidi="ar-MA"/>
              </w:rPr>
            </w:pPr>
          </w:p>
        </w:tc>
      </w:tr>
      <w:tr w:rsidR="009F46DF" w:rsidTr="00010BEF">
        <w:trPr>
          <w:gridAfter w:val="1"/>
          <w:cnfStyle w:val="000000100000"/>
          <w:wAfter w:w="36" w:type="dxa"/>
          <w:trHeight w:val="269"/>
          <w:jc w:val="center"/>
        </w:trPr>
        <w:tc>
          <w:tcPr>
            <w:cnfStyle w:val="001000000000"/>
            <w:tcW w:w="10703" w:type="dxa"/>
            <w:shd w:val="clear" w:color="auto" w:fill="76923C" w:themeFill="accent3" w:themeFillShade="BF"/>
          </w:tcPr>
          <w:p w:rsidR="009F46DF" w:rsidRPr="008F1700" w:rsidRDefault="002E2729" w:rsidP="002E2729">
            <w:pPr>
              <w:spacing w:line="240" w:lineRule="atLeast"/>
              <w:rPr>
                <w:rFonts w:ascii="Calibri" w:eastAsia="Times New Roman" w:hAnsi="Calibri" w:cs="Arabic Transparent"/>
                <w:b w:val="0"/>
                <w:bCs w:val="0"/>
                <w:snapToGrid w:val="0"/>
                <w:color w:val="FFFFFF" w:themeColor="background1"/>
                <w:sz w:val="28"/>
                <w:szCs w:val="28"/>
                <w:rtl/>
                <w:lang w:val="en-US" w:bidi="ar-MA"/>
              </w:rPr>
            </w:pPr>
            <w:r w:rsidRPr="002E2729">
              <w:rPr>
                <w:color w:val="FFFFFF" w:themeColor="background1"/>
                <w:sz w:val="24"/>
                <w:szCs w:val="24"/>
                <w:lang w:bidi="ar-MA"/>
              </w:rPr>
              <w:t>Matériel et dépenses divers :</w:t>
            </w:r>
          </w:p>
        </w:tc>
      </w:tr>
      <w:tr w:rsidR="009F46DF" w:rsidTr="00010BEF">
        <w:trPr>
          <w:gridAfter w:val="1"/>
          <w:wAfter w:w="36" w:type="dxa"/>
          <w:trHeight w:val="1299"/>
          <w:jc w:val="center"/>
        </w:trPr>
        <w:tc>
          <w:tcPr>
            <w:cnfStyle w:val="001000000000"/>
            <w:tcW w:w="10703" w:type="dxa"/>
          </w:tcPr>
          <w:p w:rsidR="009F46DF" w:rsidRPr="00E22589" w:rsidRDefault="004B11BD" w:rsidP="00B87C4B">
            <w:pPr>
              <w:pStyle w:val="Paragraphedeliste"/>
              <w:numPr>
                <w:ilvl w:val="0"/>
                <w:numId w:val="36"/>
              </w:numPr>
              <w:spacing w:before="0" w:line="240" w:lineRule="atLeast"/>
              <w:ind w:left="299" w:hanging="283"/>
              <w:jc w:val="both"/>
              <w:rPr>
                <w:rFonts w:ascii="Calibri" w:eastAsia="Times New Roman" w:hAnsi="Calibri" w:cs="Arabic Transparent"/>
                <w:b w:val="0"/>
                <w:bCs w:val="0"/>
                <w:snapToGrid w:val="0"/>
                <w:sz w:val="20"/>
                <w:szCs w:val="20"/>
                <w:lang w:bidi="ar-MA"/>
              </w:rPr>
            </w:pPr>
            <w:r w:rsidRPr="0027768D">
              <w:rPr>
                <w:sz w:val="18"/>
                <w:szCs w:val="18"/>
              </w:rPr>
              <w:t xml:space="preserve">Le budget de fonctionnement a subi une réduction de 10.65% au lieu de 0.41 %, prévue dans la note de </w:t>
            </w:r>
            <w:r w:rsidR="0022387E">
              <w:rPr>
                <w:sz w:val="18"/>
                <w:szCs w:val="18"/>
              </w:rPr>
              <w:t xml:space="preserve">cadrage, et ce en application </w:t>
            </w:r>
            <w:proofErr w:type="gramStart"/>
            <w:r w:rsidR="0022387E">
              <w:rPr>
                <w:sz w:val="18"/>
                <w:szCs w:val="18"/>
              </w:rPr>
              <w:t>de la</w:t>
            </w:r>
            <w:proofErr w:type="gramEnd"/>
            <w:r w:rsidR="0022387E">
              <w:rPr>
                <w:sz w:val="18"/>
                <w:szCs w:val="18"/>
              </w:rPr>
              <w:t xml:space="preserve"> circulaire n° 01/2011, de</w:t>
            </w:r>
            <w:r w:rsidRPr="0027768D">
              <w:rPr>
                <w:sz w:val="18"/>
                <w:szCs w:val="18"/>
              </w:rPr>
              <w:t xml:space="preserve"> Mr le Premier Ministre, invitant les administrations à réduire les dépenses de fonctionnement. Cette mesure a eu un impact direct sur les crédits réservés au Ministère qui ont  été réduits de 68.82 %, ce qui affecté la mise en œuvre de certaines actions programmées comme la généralisation des opérations de nettoyage et de gardiennage à toutes les délégations, ainsi que l’entretien et la réparation de certains bâtiments administratifs.</w:t>
            </w:r>
          </w:p>
          <w:p w:rsidR="00E22589" w:rsidRDefault="00E22589" w:rsidP="00E22589">
            <w:pPr>
              <w:pStyle w:val="Paragraphedeliste"/>
              <w:spacing w:before="0" w:line="240" w:lineRule="atLeast"/>
              <w:ind w:left="299"/>
              <w:jc w:val="both"/>
              <w:rPr>
                <w:sz w:val="18"/>
                <w:szCs w:val="18"/>
              </w:rPr>
            </w:pPr>
          </w:p>
          <w:p w:rsidR="00E22589" w:rsidRPr="00B87C4B" w:rsidRDefault="00E22589" w:rsidP="00E22589">
            <w:pPr>
              <w:pStyle w:val="Paragraphedeliste"/>
              <w:spacing w:before="0" w:line="240" w:lineRule="atLeast"/>
              <w:ind w:left="299"/>
              <w:jc w:val="both"/>
              <w:rPr>
                <w:rFonts w:ascii="Calibri" w:eastAsia="Times New Roman" w:hAnsi="Calibri" w:cs="Arabic Transparent"/>
                <w:b w:val="0"/>
                <w:bCs w:val="0"/>
                <w:snapToGrid w:val="0"/>
                <w:sz w:val="20"/>
                <w:szCs w:val="20"/>
                <w:rtl/>
                <w:lang w:bidi="ar-MA"/>
              </w:rPr>
            </w:pPr>
          </w:p>
        </w:tc>
      </w:tr>
      <w:tr w:rsidR="009F46DF" w:rsidTr="003D41D4">
        <w:trPr>
          <w:gridAfter w:val="1"/>
          <w:cnfStyle w:val="000000100000"/>
          <w:wAfter w:w="36" w:type="dxa"/>
          <w:trHeight w:val="3027"/>
          <w:jc w:val="center"/>
        </w:trPr>
        <w:tc>
          <w:tcPr>
            <w:cnfStyle w:val="001000000000"/>
            <w:tcW w:w="10703" w:type="dxa"/>
          </w:tcPr>
          <w:tbl>
            <w:tblPr>
              <w:tblpPr w:leftFromText="141" w:rightFromText="141" w:horzAnchor="margin" w:tblpXSpec="center" w:tblpY="246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897"/>
              <w:gridCol w:w="2779"/>
              <w:gridCol w:w="1136"/>
              <w:gridCol w:w="1280"/>
              <w:gridCol w:w="1278"/>
              <w:gridCol w:w="1291"/>
            </w:tblGrid>
            <w:tr w:rsidR="00220C39" w:rsidRPr="00FD3258" w:rsidTr="00B87C4B">
              <w:trPr>
                <w:trHeight w:hRule="exact" w:val="362"/>
              </w:trPr>
              <w:tc>
                <w:tcPr>
                  <w:tcW w:w="4676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E46C0A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chapitre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single" w:sz="8" w:space="0" w:color="FFFFFF"/>
                    <w:left w:val="nil"/>
                    <w:bottom w:val="single" w:sz="12" w:space="0" w:color="FFFFFF"/>
                    <w:right w:val="nil"/>
                  </w:tcBorders>
                  <w:shd w:val="clear" w:color="000000" w:fill="E46C0A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Crédits ouverts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8" w:space="0" w:color="FFFFFF"/>
                    <w:left w:val="nil"/>
                    <w:bottom w:val="single" w:sz="12" w:space="0" w:color="FFFFFF"/>
                    <w:right w:val="nil"/>
                  </w:tcBorders>
                  <w:shd w:val="clear" w:color="000000" w:fill="E46C0A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évolution</w:t>
                  </w:r>
                </w:p>
              </w:tc>
            </w:tr>
            <w:tr w:rsidR="00B87C4B" w:rsidRPr="00FD3258" w:rsidTr="00B87C4B">
              <w:trPr>
                <w:trHeight w:hRule="exact" w:val="362"/>
              </w:trPr>
              <w:tc>
                <w:tcPr>
                  <w:tcW w:w="4676" w:type="dxa"/>
                  <w:gridSpan w:val="2"/>
                  <w:tcBorders>
                    <w:top w:val="nil"/>
                    <w:left w:val="single" w:sz="8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000000" w:fill="E46C0A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Matériels et dépenses divers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376092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2011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77933C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2012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46C0A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écart</w:t>
                  </w:r>
                  <w:r w:rsidRPr="003D41D4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 xml:space="preserve"> 2012/2011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46C0A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%</w:t>
                  </w:r>
                </w:p>
              </w:tc>
            </w:tr>
            <w:tr w:rsidR="00B87C4B" w:rsidRPr="00FD3258" w:rsidTr="00B87C4B">
              <w:trPr>
                <w:trHeight w:hRule="exact" w:val="275"/>
              </w:trPr>
              <w:tc>
                <w:tcPr>
                  <w:tcW w:w="1897" w:type="dxa"/>
                  <w:vMerge w:val="restart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subventions</w:t>
                  </w: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Association des œuvres sociales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right w:val="single" w:sz="8" w:space="0" w:color="FFFFFF"/>
                  </w:tcBorders>
                  <w:shd w:val="clear" w:color="000000" w:fill="D5DFE4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1 000 </w:t>
                  </w:r>
                  <w:proofErr w:type="spellStart"/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000</w:t>
                  </w:r>
                  <w:proofErr w:type="spellEnd"/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right w:val="single" w:sz="8" w:space="0" w:color="FFFFFF"/>
                  </w:tcBorders>
                  <w:shd w:val="clear" w:color="000000" w:fill="D7E4BD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600 000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-300 000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-33,33%</w:t>
                  </w:r>
                </w:p>
              </w:tc>
            </w:tr>
            <w:tr w:rsidR="00B87C4B" w:rsidRPr="00FD3258" w:rsidTr="00B87C4B">
              <w:trPr>
                <w:trHeight w:hRule="exact" w:val="228"/>
              </w:trPr>
              <w:tc>
                <w:tcPr>
                  <w:tcW w:w="1897" w:type="dxa"/>
                  <w:vMerge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hideMark/>
                </w:tcPr>
                <w:p w:rsidR="00220C39" w:rsidRPr="003D41D4" w:rsidRDefault="00220C39" w:rsidP="00B87C4B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779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SEGMA Sécurité sociale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200 000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7E4BD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200 000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rtl/>
                      <w:lang w:eastAsia="fr-FR"/>
                    </w:rPr>
                    <w:t>-</w:t>
                  </w:r>
                  <w:proofErr w:type="spellEnd"/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</w:t>
                  </w:r>
                </w:p>
              </w:tc>
            </w:tr>
            <w:tr w:rsidR="00B87C4B" w:rsidRPr="00FD3258" w:rsidTr="00B87C4B">
              <w:trPr>
                <w:trHeight w:hRule="exact" w:val="321"/>
              </w:trPr>
              <w:tc>
                <w:tcPr>
                  <w:tcW w:w="4676" w:type="dxa"/>
                  <w:gridSpan w:val="2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nil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  <w:lang w:eastAsia="fr-FR" w:bidi="ar-MA"/>
                    </w:rPr>
                  </w:pPr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Majorations des rentes (services rendus aux accidentés du travail)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13 980 000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7E4BD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14 230 000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1 648 000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13,10%</w:t>
                  </w:r>
                </w:p>
              </w:tc>
            </w:tr>
            <w:tr w:rsidR="00B87C4B" w:rsidRPr="00FD3258" w:rsidTr="00B87C4B">
              <w:trPr>
                <w:trHeight w:hRule="exact" w:val="300"/>
              </w:trPr>
              <w:tc>
                <w:tcPr>
                  <w:tcW w:w="4676" w:type="dxa"/>
                  <w:gridSpan w:val="2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nil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  <w:lang w:eastAsia="fr-FR" w:bidi="ar-MA"/>
                    </w:rPr>
                  </w:pPr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Dialogues social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800 000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7E4BD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432 000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-368 000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-46,00%</w:t>
                  </w:r>
                </w:p>
              </w:tc>
            </w:tr>
            <w:tr w:rsidR="00B87C4B" w:rsidRPr="00FD3258" w:rsidTr="003D41D4">
              <w:trPr>
                <w:trHeight w:hRule="exact" w:val="291"/>
              </w:trPr>
              <w:tc>
                <w:tcPr>
                  <w:tcW w:w="4676" w:type="dxa"/>
                  <w:gridSpan w:val="2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nil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  <w:lang w:eastAsia="fr-FR" w:bidi="ar-MA"/>
                    </w:rPr>
                  </w:pPr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Conventions et contrats de droits commun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13 630 000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7E4BD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12 659 000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-971 000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-7,12%</w:t>
                  </w:r>
                </w:p>
              </w:tc>
            </w:tr>
            <w:tr w:rsidR="00B87C4B" w:rsidRPr="00FD3258" w:rsidTr="00B87C4B">
              <w:trPr>
                <w:trHeight w:hRule="exact" w:val="256"/>
              </w:trPr>
              <w:tc>
                <w:tcPr>
                  <w:tcW w:w="4676" w:type="dxa"/>
                  <w:gridSpan w:val="2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nil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  <w:lang w:eastAsia="fr-FR" w:bidi="ar-MA"/>
                    </w:rPr>
                  </w:pPr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Budget réservé au Département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15 740 000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7E4BD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14 879 000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6 065 294</w:t>
                  </w:r>
                </w:p>
              </w:tc>
              <w:tc>
                <w:tcPr>
                  <w:tcW w:w="129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hideMark/>
                </w:tcPr>
                <w:p w:rsidR="00220C39" w:rsidRPr="003D41D4" w:rsidRDefault="00220C39" w:rsidP="00B87C4B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68,82%</w:t>
                  </w:r>
                </w:p>
              </w:tc>
            </w:tr>
          </w:tbl>
          <w:p w:rsidR="009F46DF" w:rsidRDefault="009F46DF" w:rsidP="00BA5D7A">
            <w:pPr>
              <w:bidi/>
              <w:spacing w:line="240" w:lineRule="atLeast"/>
              <w:rPr>
                <w:rFonts w:ascii="Calibri" w:eastAsia="Times New Roman" w:hAnsi="Calibri" w:cs="Arabic Transparent"/>
                <w:snapToGrid w:val="0"/>
                <w:sz w:val="6"/>
                <w:szCs w:val="6"/>
                <w:lang w:bidi="ar-MA"/>
              </w:rPr>
            </w:pPr>
          </w:p>
          <w:p w:rsidR="0022387E" w:rsidRDefault="0022387E" w:rsidP="0022387E">
            <w:pPr>
              <w:bidi/>
              <w:spacing w:line="240" w:lineRule="atLeast"/>
              <w:rPr>
                <w:rFonts w:ascii="Calibri" w:eastAsia="Times New Roman" w:hAnsi="Calibri" w:cs="Arabic Transparent"/>
                <w:snapToGrid w:val="0"/>
                <w:sz w:val="6"/>
                <w:szCs w:val="6"/>
                <w:lang w:bidi="ar-MA"/>
              </w:rPr>
            </w:pPr>
          </w:p>
          <w:p w:rsidR="00E22589" w:rsidRDefault="00E22589" w:rsidP="00E22589">
            <w:pPr>
              <w:bidi/>
              <w:spacing w:line="240" w:lineRule="atLeast"/>
              <w:rPr>
                <w:rFonts w:ascii="Calibri" w:eastAsia="Times New Roman" w:hAnsi="Calibri" w:cs="Arabic Transparent"/>
                <w:snapToGrid w:val="0"/>
                <w:sz w:val="6"/>
                <w:szCs w:val="6"/>
                <w:lang w:bidi="ar-MA"/>
              </w:rPr>
            </w:pPr>
          </w:p>
          <w:p w:rsidR="00E22589" w:rsidRDefault="00E22589" w:rsidP="00E22589">
            <w:pPr>
              <w:bidi/>
              <w:spacing w:line="240" w:lineRule="atLeast"/>
              <w:rPr>
                <w:rFonts w:ascii="Calibri" w:eastAsia="Times New Roman" w:hAnsi="Calibri" w:cs="Arabic Transparent"/>
                <w:snapToGrid w:val="0"/>
                <w:sz w:val="6"/>
                <w:szCs w:val="6"/>
                <w:lang w:bidi="ar-MA"/>
              </w:rPr>
            </w:pPr>
          </w:p>
          <w:p w:rsidR="00E22589" w:rsidRPr="00B87C4B" w:rsidRDefault="00E22589" w:rsidP="00E22589">
            <w:pPr>
              <w:bidi/>
              <w:spacing w:line="240" w:lineRule="atLeast"/>
              <w:rPr>
                <w:rFonts w:ascii="Calibri" w:eastAsia="Times New Roman" w:hAnsi="Calibri" w:cs="Arabic Transparent"/>
                <w:snapToGrid w:val="0"/>
                <w:sz w:val="6"/>
                <w:szCs w:val="6"/>
                <w:rtl/>
                <w:lang w:bidi="ar-MA"/>
              </w:rPr>
            </w:pPr>
          </w:p>
        </w:tc>
      </w:tr>
      <w:tr w:rsidR="009F46DF" w:rsidTr="00010BEF">
        <w:trPr>
          <w:trHeight w:val="401"/>
          <w:jc w:val="center"/>
        </w:trPr>
        <w:tc>
          <w:tcPr>
            <w:cnfStyle w:val="001000000000"/>
            <w:tcW w:w="10739" w:type="dxa"/>
            <w:gridSpan w:val="2"/>
            <w:shd w:val="clear" w:color="auto" w:fill="76923C" w:themeFill="accent3" w:themeFillShade="BF"/>
          </w:tcPr>
          <w:p w:rsidR="009F46DF" w:rsidRPr="008F1700" w:rsidRDefault="00212001" w:rsidP="00212001">
            <w:pPr>
              <w:spacing w:line="240" w:lineRule="atLeast"/>
              <w:rPr>
                <w:rFonts w:eastAsiaTheme="minorEastAsia"/>
                <w:color w:val="FFFFFF" w:themeColor="background1"/>
                <w:sz w:val="32"/>
                <w:szCs w:val="32"/>
                <w:rtl/>
                <w:lang w:eastAsia="fr-FR" w:bidi="ar-MA"/>
              </w:rPr>
            </w:pPr>
            <w:r w:rsidRPr="00212001">
              <w:rPr>
                <w:color w:val="FFFFFF" w:themeColor="background1"/>
                <w:sz w:val="24"/>
                <w:szCs w:val="24"/>
                <w:lang w:bidi="ar-MA"/>
              </w:rPr>
              <w:lastRenderedPageBreak/>
              <w:t>Budget d’investissement :</w:t>
            </w:r>
          </w:p>
        </w:tc>
      </w:tr>
      <w:tr w:rsidR="009F46DF" w:rsidTr="00010BEF">
        <w:trPr>
          <w:cnfStyle w:val="000000100000"/>
          <w:trHeight w:val="994"/>
          <w:jc w:val="center"/>
        </w:trPr>
        <w:tc>
          <w:tcPr>
            <w:cnfStyle w:val="001000000000"/>
            <w:tcW w:w="10739" w:type="dxa"/>
            <w:gridSpan w:val="2"/>
          </w:tcPr>
          <w:p w:rsidR="009F46DF" w:rsidRPr="00B87C4B" w:rsidRDefault="00FE163D" w:rsidP="00B87C4B">
            <w:pPr>
              <w:pStyle w:val="Paragraphedeliste"/>
              <w:numPr>
                <w:ilvl w:val="0"/>
                <w:numId w:val="36"/>
              </w:numPr>
              <w:spacing w:before="0" w:line="240" w:lineRule="atLeast"/>
              <w:ind w:left="299" w:hanging="283"/>
              <w:jc w:val="both"/>
              <w:rPr>
                <w:rFonts w:ascii="Calibri" w:eastAsia="Times New Roman" w:hAnsi="Calibri" w:cs="Arabic Transparent"/>
                <w:b w:val="0"/>
                <w:bCs w:val="0"/>
                <w:snapToGrid w:val="0"/>
                <w:sz w:val="20"/>
                <w:szCs w:val="20"/>
                <w:rtl/>
                <w:lang w:bidi="ar-MA"/>
              </w:rPr>
            </w:pPr>
            <w:r w:rsidRPr="0027768D">
              <w:rPr>
                <w:sz w:val="18"/>
                <w:szCs w:val="18"/>
              </w:rPr>
              <w:t>Le budget d’investissement a été réduit de 0.21 % ce qui a engendré une baisse des crédits réservés à l’Administration Générale de 23 % alors que les crédits destinés aux services extérieurs ont été augmentés de 15.85 %, et ce conformément aux orientations du gouvernement visant à renforcer la politique de proximité et de déconcentration</w:t>
            </w:r>
            <w:r w:rsidRPr="00FE163D">
              <w:rPr>
                <w:rFonts w:ascii="Calibri" w:eastAsia="Times New Roman" w:hAnsi="Calibri" w:cs="Arabic Transparent"/>
                <w:b w:val="0"/>
                <w:bCs w:val="0"/>
                <w:snapToGrid w:val="0"/>
                <w:sz w:val="20"/>
                <w:szCs w:val="20"/>
                <w:lang w:bidi="ar-MA"/>
              </w:rPr>
              <w:t xml:space="preserve">. </w:t>
            </w:r>
          </w:p>
        </w:tc>
      </w:tr>
      <w:tr w:rsidR="009F46DF" w:rsidTr="003D41D4">
        <w:trPr>
          <w:trHeight w:val="2529"/>
          <w:jc w:val="center"/>
        </w:trPr>
        <w:tc>
          <w:tcPr>
            <w:cnfStyle w:val="001000000000"/>
            <w:tcW w:w="10739" w:type="dxa"/>
            <w:gridSpan w:val="2"/>
          </w:tcPr>
          <w:p w:rsidR="009F46DF" w:rsidRPr="005A66A5" w:rsidRDefault="009F46DF" w:rsidP="00BA5D7A">
            <w:pPr>
              <w:bidi/>
              <w:jc w:val="center"/>
              <w:rPr>
                <w:sz w:val="10"/>
                <w:szCs w:val="10"/>
                <w:rtl/>
                <w:lang w:bidi="ar-MA"/>
              </w:rPr>
            </w:pPr>
          </w:p>
          <w:p w:rsidR="009F46DF" w:rsidRPr="00B87C4B" w:rsidRDefault="009F46DF" w:rsidP="00BA5D7A">
            <w:pPr>
              <w:bidi/>
              <w:jc w:val="center"/>
              <w:rPr>
                <w:sz w:val="2"/>
                <w:szCs w:val="2"/>
                <w:rtl/>
                <w:lang w:bidi="ar-MA"/>
              </w:rPr>
            </w:pPr>
          </w:p>
          <w:tbl>
            <w:tblPr>
              <w:tblW w:w="1005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195"/>
              <w:gridCol w:w="2410"/>
              <w:gridCol w:w="1832"/>
              <w:gridCol w:w="1251"/>
              <w:gridCol w:w="2015"/>
              <w:gridCol w:w="1353"/>
            </w:tblGrid>
            <w:tr w:rsidR="007358F3" w:rsidRPr="00B87C4B" w:rsidTr="00B87C4B">
              <w:trPr>
                <w:trHeight w:hRule="exact" w:val="285"/>
                <w:jc w:val="center"/>
              </w:trPr>
              <w:tc>
                <w:tcPr>
                  <w:tcW w:w="3605" w:type="dxa"/>
                  <w:gridSpan w:val="2"/>
                  <w:vMerge w:val="restart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nil"/>
                  </w:tcBorders>
                  <w:shd w:val="clear" w:color="000000" w:fill="E46C0A"/>
                  <w:vAlign w:val="bottom"/>
                  <w:hideMark/>
                </w:tcPr>
                <w:p w:rsidR="007358F3" w:rsidRPr="003D41D4" w:rsidRDefault="007358F3" w:rsidP="00BA5D7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Composantes du chapitre investissement</w:t>
                  </w:r>
                  <w:r w:rsidRPr="003D41D4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3083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single" w:sz="8" w:space="0" w:color="FFFFFF"/>
                  </w:tcBorders>
                  <w:shd w:val="clear" w:color="000000" w:fill="E46C0A"/>
                  <w:vAlign w:val="bottom"/>
                  <w:hideMark/>
                </w:tcPr>
                <w:p w:rsidR="007358F3" w:rsidRPr="003D41D4" w:rsidRDefault="007358F3" w:rsidP="00BA5D7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Crédits ouverts</w:t>
                  </w:r>
                  <w:r w:rsidRPr="003D41D4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3368" w:type="dxa"/>
                  <w:gridSpan w:val="2"/>
                  <w:tcBorders>
                    <w:top w:val="single" w:sz="8" w:space="0" w:color="FFFFFF"/>
                    <w:left w:val="nil"/>
                    <w:bottom w:val="single" w:sz="12" w:space="0" w:color="FFFFFF"/>
                    <w:right w:val="single" w:sz="8" w:space="0" w:color="FFFFFF"/>
                  </w:tcBorders>
                  <w:shd w:val="clear" w:color="000000" w:fill="E46C0A"/>
                  <w:vAlign w:val="bottom"/>
                  <w:hideMark/>
                </w:tcPr>
                <w:p w:rsidR="007358F3" w:rsidRPr="003D41D4" w:rsidRDefault="007358F3" w:rsidP="00BA5D7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évolution</w:t>
                  </w:r>
                  <w:r w:rsidRPr="003D41D4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  <w:tr w:rsidR="007358F3" w:rsidRPr="00B87C4B" w:rsidTr="00B87C4B">
              <w:trPr>
                <w:trHeight w:hRule="exact" w:val="285"/>
                <w:jc w:val="center"/>
              </w:trPr>
              <w:tc>
                <w:tcPr>
                  <w:tcW w:w="3605" w:type="dxa"/>
                  <w:gridSpan w:val="2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12" w:space="0" w:color="FFFFFF"/>
                    <w:right w:val="nil"/>
                  </w:tcBorders>
                  <w:vAlign w:val="center"/>
                  <w:hideMark/>
                </w:tcPr>
                <w:p w:rsidR="007358F3" w:rsidRPr="003D41D4" w:rsidRDefault="007358F3" w:rsidP="00BA5D7A">
                  <w:pP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376092"/>
                  <w:vAlign w:val="bottom"/>
                  <w:hideMark/>
                </w:tcPr>
                <w:p w:rsidR="007358F3" w:rsidRPr="003D41D4" w:rsidRDefault="007358F3" w:rsidP="00BA5D7A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2011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C0504D"/>
                  <w:vAlign w:val="bottom"/>
                  <w:hideMark/>
                </w:tcPr>
                <w:p w:rsidR="007358F3" w:rsidRPr="003D41D4" w:rsidRDefault="007358F3" w:rsidP="00BA5D7A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2012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46C0A"/>
                  <w:vAlign w:val="bottom"/>
                  <w:hideMark/>
                </w:tcPr>
                <w:p w:rsidR="007358F3" w:rsidRPr="003D41D4" w:rsidRDefault="007358F3" w:rsidP="00BA5D7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>écart</w:t>
                  </w:r>
                  <w:r w:rsidRPr="003D41D4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 xml:space="preserve"> 2012/2011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46C0A"/>
                  <w:vAlign w:val="bottom"/>
                  <w:hideMark/>
                </w:tcPr>
                <w:p w:rsidR="007358F3" w:rsidRPr="003D41D4" w:rsidRDefault="007358F3" w:rsidP="00BA5D7A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b/>
                      <w:bCs/>
                      <w:color w:val="FFFFFF"/>
                      <w:sz w:val="20"/>
                      <w:szCs w:val="20"/>
                      <w:lang w:eastAsia="fr-FR"/>
                    </w:rPr>
                    <w:t xml:space="preserve">% </w:t>
                  </w:r>
                </w:p>
              </w:tc>
            </w:tr>
            <w:tr w:rsidR="00B87C4B" w:rsidRPr="00B87C4B" w:rsidTr="003D41D4">
              <w:trPr>
                <w:trHeight w:hRule="exact" w:val="285"/>
                <w:jc w:val="center"/>
              </w:trPr>
              <w:tc>
                <w:tcPr>
                  <w:tcW w:w="1195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7358F3" w:rsidRPr="003D41D4" w:rsidRDefault="003D41D4" w:rsidP="00BA5D7A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Subventions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bottom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SEGMA </w:t>
                  </w:r>
                  <w:proofErr w:type="spellStart"/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Securité</w:t>
                  </w:r>
                  <w:proofErr w:type="spellEnd"/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 xml:space="preserve"> sociale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500 000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8CBCB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100 000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-400 000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-80,00%</w:t>
                  </w:r>
                </w:p>
              </w:tc>
            </w:tr>
            <w:tr w:rsidR="00B87C4B" w:rsidRPr="00B87C4B" w:rsidTr="003D41D4">
              <w:trPr>
                <w:trHeight w:hRule="exact" w:val="209"/>
                <w:jc w:val="center"/>
              </w:trPr>
              <w:tc>
                <w:tcPr>
                  <w:tcW w:w="3605" w:type="dxa"/>
                  <w:gridSpan w:val="2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nil"/>
                  </w:tcBorders>
                  <w:shd w:val="clear" w:color="000000" w:fill="FCD5B5"/>
                  <w:vAlign w:val="bottom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  <w:lang w:eastAsia="fr-FR" w:bidi="ar-MA"/>
                    </w:rPr>
                  </w:pPr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Observatoire de l’emploi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3 400 000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8CBCB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1 200 000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-2 200 000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-64,71%</w:t>
                  </w:r>
                </w:p>
              </w:tc>
            </w:tr>
            <w:tr w:rsidR="00B87C4B" w:rsidRPr="00B87C4B" w:rsidTr="003D41D4">
              <w:trPr>
                <w:trHeight w:hRule="exact" w:val="283"/>
                <w:jc w:val="center"/>
              </w:trPr>
              <w:tc>
                <w:tcPr>
                  <w:tcW w:w="3605" w:type="dxa"/>
                  <w:gridSpan w:val="2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nil"/>
                  </w:tcBorders>
                  <w:shd w:val="clear" w:color="000000" w:fill="FCD5B5"/>
                  <w:vAlign w:val="bottom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Lutte contre le travail des enfants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1 500 000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8CBCB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1 500 000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7358F3" w:rsidRPr="003D41D4" w:rsidRDefault="007358F3" w:rsidP="00BA5D7A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-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7358F3" w:rsidRPr="003D41D4" w:rsidRDefault="007358F3" w:rsidP="00BA5D7A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- </w:t>
                  </w:r>
                </w:p>
              </w:tc>
            </w:tr>
            <w:tr w:rsidR="00B87C4B" w:rsidRPr="00B87C4B" w:rsidTr="003D41D4">
              <w:trPr>
                <w:trHeight w:hRule="exact" w:val="429"/>
                <w:jc w:val="center"/>
              </w:trPr>
              <w:tc>
                <w:tcPr>
                  <w:tcW w:w="3605" w:type="dxa"/>
                  <w:gridSpan w:val="2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nil"/>
                  </w:tcBorders>
                  <w:shd w:val="clear" w:color="000000" w:fill="FCD5B5"/>
                  <w:vAlign w:val="bottom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  <w:lang w:eastAsia="fr-FR" w:bidi="ar-MA"/>
                    </w:rPr>
                  </w:pPr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Equipement des services extérieurs</w:t>
                  </w:r>
                  <w:r w:rsidRPr="003D41D4">
                    <w:rPr>
                      <w:rFonts w:ascii="Calibri" w:eastAsia="Times New Roman" w:hAnsi="Calibri" w:cs="Arial"/>
                      <w:color w:val="000000"/>
                      <w:sz w:val="18"/>
                      <w:szCs w:val="18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17 540 000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8CBCB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20 320 000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2 780 000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15,85%</w:t>
                  </w:r>
                </w:p>
              </w:tc>
            </w:tr>
            <w:tr w:rsidR="00B87C4B" w:rsidRPr="00B87C4B" w:rsidTr="00B87C4B">
              <w:trPr>
                <w:trHeight w:hRule="exact" w:val="285"/>
                <w:jc w:val="center"/>
              </w:trPr>
              <w:tc>
                <w:tcPr>
                  <w:tcW w:w="3605" w:type="dxa"/>
                  <w:gridSpan w:val="2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nil"/>
                  </w:tcBorders>
                  <w:shd w:val="clear" w:color="000000" w:fill="FCD5B5"/>
                  <w:vAlign w:val="bottom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  <w:lang w:eastAsia="fr-FR" w:bidi="ar-MA"/>
                    </w:rPr>
                  </w:pPr>
                  <w:r w:rsidRPr="003D41D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  <w:t>Budget d’investissement propre au Département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000000" w:fill="D5DFE4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19 560 000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E8CBCB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15 080 000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-4 480 000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nil"/>
                    <w:bottom w:val="single" w:sz="8" w:space="0" w:color="FFFFFF"/>
                    <w:right w:val="single" w:sz="8" w:space="0" w:color="FFFFFF"/>
                  </w:tcBorders>
                  <w:shd w:val="clear" w:color="000000" w:fill="FCD5B5"/>
                  <w:vAlign w:val="center"/>
                  <w:hideMark/>
                </w:tcPr>
                <w:p w:rsidR="007358F3" w:rsidRPr="003D41D4" w:rsidRDefault="007358F3" w:rsidP="00BA5D7A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3D41D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fr-FR"/>
                    </w:rPr>
                    <w:t>-22,90%</w:t>
                  </w:r>
                </w:p>
              </w:tc>
            </w:tr>
          </w:tbl>
          <w:p w:rsidR="009F46DF" w:rsidRDefault="009F46DF" w:rsidP="00BA5D7A">
            <w:pPr>
              <w:bidi/>
              <w:jc w:val="center"/>
              <w:rPr>
                <w:rtl/>
                <w:lang w:bidi="ar-MA"/>
              </w:rPr>
            </w:pPr>
          </w:p>
        </w:tc>
      </w:tr>
    </w:tbl>
    <w:p w:rsidR="00B87C4B" w:rsidRPr="00020054" w:rsidRDefault="00B87C4B" w:rsidP="00B87C4B">
      <w:pPr>
        <w:ind w:right="-1417"/>
        <w:rPr>
          <w:color w:val="FFFFFF" w:themeColor="background1"/>
          <w:sz w:val="4"/>
          <w:szCs w:val="4"/>
        </w:rPr>
      </w:pPr>
    </w:p>
    <w:p w:rsidR="00B87C4B" w:rsidRDefault="00B87C4B" w:rsidP="00B87C4B">
      <w:pPr>
        <w:shd w:val="clear" w:color="auto" w:fill="548DD4" w:themeFill="text2" w:themeFillTint="99"/>
        <w:ind w:left="-1417" w:right="-1417" w:firstLine="566"/>
        <w:jc w:val="center"/>
        <w:rPr>
          <w:color w:val="FFFFFF" w:themeColor="background1"/>
          <w:sz w:val="40"/>
          <w:szCs w:val="40"/>
        </w:rPr>
      </w:pPr>
      <w:r w:rsidRPr="00005B8C">
        <w:rPr>
          <w:color w:val="FFFFFF" w:themeColor="background1"/>
          <w:sz w:val="40"/>
          <w:szCs w:val="40"/>
        </w:rPr>
        <w:t xml:space="preserve">Indicateurs relatifs </w:t>
      </w:r>
      <w:r>
        <w:rPr>
          <w:color w:val="FFFFFF" w:themeColor="background1"/>
          <w:sz w:val="40"/>
          <w:szCs w:val="40"/>
        </w:rPr>
        <w:t>à l’Informatique et à la Communication</w:t>
      </w:r>
    </w:p>
    <w:tbl>
      <w:tblPr>
        <w:tblStyle w:val="Listeclaire-Accent11"/>
        <w:bidiVisual/>
        <w:tblW w:w="10868" w:type="dxa"/>
        <w:jc w:val="center"/>
        <w:tblInd w:w="2139" w:type="dxa"/>
        <w:tblLook w:val="04A0"/>
      </w:tblPr>
      <w:tblGrid>
        <w:gridCol w:w="10868"/>
      </w:tblGrid>
      <w:tr w:rsidR="000405C0" w:rsidTr="000405C0">
        <w:trPr>
          <w:cnfStyle w:val="100000000000"/>
          <w:trHeight w:val="305"/>
          <w:jc w:val="center"/>
        </w:trPr>
        <w:tc>
          <w:tcPr>
            <w:cnfStyle w:val="001000000000"/>
            <w:tcW w:w="10868" w:type="dxa"/>
          </w:tcPr>
          <w:p w:rsidR="000405C0" w:rsidRPr="00C1456D" w:rsidRDefault="000405C0" w:rsidP="00BA5D7A">
            <w:pPr>
              <w:pStyle w:val="Paragraphedeliste"/>
              <w:spacing w:line="360" w:lineRule="auto"/>
              <w:ind w:left="0"/>
              <w:rPr>
                <w:rFonts w:asciiTheme="majorBidi" w:hAnsiTheme="majorBidi" w:cstheme="majorBidi"/>
                <w:b w:val="0"/>
                <w:bCs w:val="0"/>
                <w:sz w:val="30"/>
                <w:szCs w:val="30"/>
                <w:u w:val="single"/>
                <w:rtl/>
              </w:rPr>
            </w:pPr>
            <w:r>
              <w:rPr>
                <w:rFonts w:asciiTheme="majorBidi" w:hAnsiTheme="majorBidi" w:cstheme="majorBidi"/>
                <w:sz w:val="30"/>
                <w:szCs w:val="30"/>
                <w:u w:val="single"/>
              </w:rPr>
              <w:t>Informatique</w:t>
            </w:r>
          </w:p>
        </w:tc>
      </w:tr>
      <w:tr w:rsidR="000405C0" w:rsidTr="006312CB">
        <w:trPr>
          <w:cnfStyle w:val="000000100000"/>
          <w:trHeight w:val="2721"/>
          <w:jc w:val="center"/>
        </w:trPr>
        <w:tc>
          <w:tcPr>
            <w:cnfStyle w:val="001000000000"/>
            <w:tcW w:w="10868" w:type="dxa"/>
          </w:tcPr>
          <w:p w:rsidR="00905BEA" w:rsidRPr="00020054" w:rsidRDefault="00905BEA" w:rsidP="00020054">
            <w:pPr>
              <w:pStyle w:val="Paragraphedeliste"/>
              <w:numPr>
                <w:ilvl w:val="0"/>
                <w:numId w:val="40"/>
              </w:numPr>
              <w:spacing w:before="240"/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</w:pPr>
            <w:r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Le ministère </w:t>
            </w:r>
            <w:proofErr w:type="gramStart"/>
            <w:r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dispose</w:t>
            </w:r>
            <w:proofErr w:type="gramEnd"/>
            <w:r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 de plusieurs applications informatiques dé</w:t>
            </w:r>
            <w:r w:rsidR="00020054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veloppées en interne notamment  pour la g</w:t>
            </w:r>
            <w:r w:rsidRPr="00020054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estion des visites </w:t>
            </w:r>
            <w:r w:rsidR="00020054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d’inspections, la g</w:t>
            </w:r>
            <w:r w:rsidRPr="00020054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estion des con</w:t>
            </w:r>
            <w:r w:rsidR="00020054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flits individuels et collectifs, la gestion du courrier, la gestion de la Régie et la g</w:t>
            </w:r>
            <w:r w:rsidRPr="00020054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estion du Parc-Auto.</w:t>
            </w:r>
          </w:p>
          <w:p w:rsidR="000405C0" w:rsidRPr="00020054" w:rsidRDefault="000405C0" w:rsidP="00E22589">
            <w:pPr>
              <w:pStyle w:val="Paragraphedeliste"/>
              <w:numPr>
                <w:ilvl w:val="0"/>
                <w:numId w:val="40"/>
              </w:numPr>
              <w:spacing w:before="240"/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</w:pPr>
            <w:r w:rsidRPr="006312CB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Suivi et mise en place des applications informatiques concernant la gestion des visites d’inspection, les conflits individuels et collectifs visant à faciliter le travail des inspecteurs du travail, la collecte des données des établissements soumis au code du travail et </w:t>
            </w:r>
            <w:r w:rsidR="00E22589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à</w:t>
            </w:r>
            <w:r w:rsidRPr="006312CB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 établir les différentes états de sorties et indicateurs de suivi. </w:t>
            </w:r>
          </w:p>
          <w:p w:rsidR="000405C0" w:rsidRPr="001C4E42" w:rsidRDefault="000405C0" w:rsidP="00B536FB">
            <w:pPr>
              <w:pStyle w:val="Paragraphedeliste"/>
              <w:numPr>
                <w:ilvl w:val="0"/>
                <w:numId w:val="40"/>
              </w:numPr>
              <w:spacing w:before="0"/>
              <w:rPr>
                <w:rFonts w:ascii="Calibri" w:eastAsia="Times New Roman" w:hAnsi="Calibri" w:cs="Arabic Transparent"/>
                <w:snapToGrid w:val="0"/>
                <w:sz w:val="20"/>
                <w:szCs w:val="20"/>
                <w:rtl/>
                <w:lang w:bidi="ar-MA"/>
              </w:rPr>
            </w:pPr>
            <w:r w:rsidRPr="006312CB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Gestion du système d’information du nouveau s</w:t>
            </w:r>
            <w:r w:rsidR="001C4E42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iège du ministère en veillant à g</w:t>
            </w:r>
            <w:r w:rsidRPr="001C4E42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érer le réseau d</w:t>
            </w:r>
            <w:r w:rsidR="001C4E42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e téléphonie interne, </w:t>
            </w:r>
            <w:r w:rsidRPr="001C4E42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le système d’</w:t>
            </w:r>
            <w:r w:rsidR="001C4E42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accès et </w:t>
            </w:r>
            <w:r w:rsidRPr="001C4E42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le système de surveillance par caméra.</w:t>
            </w:r>
          </w:p>
        </w:tc>
      </w:tr>
    </w:tbl>
    <w:p w:rsidR="00020D4F" w:rsidRPr="00D9383E" w:rsidRDefault="00020D4F" w:rsidP="000B536C">
      <w:pPr>
        <w:ind w:left="-851"/>
        <w:rPr>
          <w:sz w:val="2"/>
          <w:szCs w:val="2"/>
          <w:lang w:bidi="ar-MA"/>
        </w:rPr>
      </w:pPr>
    </w:p>
    <w:tbl>
      <w:tblPr>
        <w:tblStyle w:val="Listeclaire-Accent11"/>
        <w:bidiVisual/>
        <w:tblW w:w="10776" w:type="dxa"/>
        <w:jc w:val="center"/>
        <w:tblInd w:w="670" w:type="dxa"/>
        <w:tblLook w:val="04A0"/>
      </w:tblPr>
      <w:tblGrid>
        <w:gridCol w:w="10776"/>
      </w:tblGrid>
      <w:tr w:rsidR="00D23D88" w:rsidTr="00D23D88">
        <w:trPr>
          <w:cnfStyle w:val="100000000000"/>
          <w:trHeight w:val="262"/>
          <w:jc w:val="center"/>
        </w:trPr>
        <w:tc>
          <w:tcPr>
            <w:cnfStyle w:val="001000000000"/>
            <w:tcW w:w="10776" w:type="dxa"/>
          </w:tcPr>
          <w:p w:rsidR="00D23D88" w:rsidRPr="00C1456D" w:rsidRDefault="00D23D88" w:rsidP="00BA5D7A">
            <w:pPr>
              <w:spacing w:line="360" w:lineRule="auto"/>
              <w:jc w:val="lowKashida"/>
              <w:rPr>
                <w:rFonts w:asciiTheme="majorBidi" w:hAnsiTheme="majorBidi" w:cstheme="majorBidi"/>
                <w:b w:val="0"/>
                <w:bCs w:val="0"/>
                <w:sz w:val="30"/>
                <w:szCs w:val="30"/>
                <w:u w:val="single"/>
                <w:rtl/>
              </w:rPr>
            </w:pPr>
            <w:r>
              <w:rPr>
                <w:rFonts w:asciiTheme="majorBidi" w:hAnsiTheme="majorBidi" w:cstheme="majorBidi"/>
                <w:sz w:val="30"/>
                <w:szCs w:val="30"/>
                <w:u w:val="single"/>
              </w:rPr>
              <w:t>Communication</w:t>
            </w:r>
          </w:p>
        </w:tc>
      </w:tr>
      <w:tr w:rsidR="00D23D88" w:rsidRPr="00C65B87" w:rsidTr="00170111">
        <w:trPr>
          <w:cnfStyle w:val="000000100000"/>
          <w:trHeight w:val="3239"/>
          <w:jc w:val="center"/>
        </w:trPr>
        <w:tc>
          <w:tcPr>
            <w:cnfStyle w:val="001000000000"/>
            <w:tcW w:w="10776" w:type="dxa"/>
          </w:tcPr>
          <w:p w:rsidR="002760EA" w:rsidRPr="002760EA" w:rsidRDefault="002760EA" w:rsidP="00D23D88">
            <w:pPr>
              <w:pStyle w:val="Paragraphedeliste"/>
              <w:numPr>
                <w:ilvl w:val="0"/>
                <w:numId w:val="41"/>
              </w:numPr>
              <w:spacing w:before="240"/>
              <w:rPr>
                <w:rFonts w:ascii="Calibri" w:eastAsia="Times New Roman" w:hAnsi="Calibri" w:cs="Arabic Transparent"/>
                <w:snapToGrid w:val="0"/>
                <w:u w:val="single"/>
                <w:lang w:bidi="ar-MA"/>
              </w:rPr>
            </w:pPr>
            <w:r w:rsidRPr="002760EA">
              <w:rPr>
                <w:rFonts w:ascii="Calibri" w:eastAsia="Times New Roman" w:hAnsi="Calibri" w:cs="Arabic Transparent"/>
                <w:snapToGrid w:val="0"/>
                <w:u w:val="single"/>
                <w:lang w:bidi="ar-MA"/>
              </w:rPr>
              <w:t>Portail électronique du ministère</w:t>
            </w:r>
            <w:r>
              <w:rPr>
                <w:rFonts w:ascii="Calibri" w:eastAsia="Times New Roman" w:hAnsi="Calibri" w:cs="Arabic Transparent"/>
                <w:snapToGrid w:val="0"/>
                <w:u w:val="single"/>
                <w:lang w:bidi="ar-MA"/>
              </w:rPr>
              <w:t> :</w:t>
            </w:r>
          </w:p>
          <w:p w:rsidR="00B01B23" w:rsidRDefault="00B01B23" w:rsidP="002760EA">
            <w:pPr>
              <w:pStyle w:val="Paragraphedeliste"/>
              <w:numPr>
                <w:ilvl w:val="1"/>
                <w:numId w:val="46"/>
              </w:numPr>
              <w:spacing w:before="0"/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</w:pPr>
            <w:r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Ajout de certaines </w:t>
            </w:r>
            <w:r w:rsidR="006C6CEF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fenêtres </w:t>
            </w:r>
            <w:r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pour faciliter l’accès à l’information.</w:t>
            </w:r>
          </w:p>
          <w:p w:rsidR="002760EA" w:rsidRPr="00D23D88" w:rsidRDefault="002760EA" w:rsidP="002760EA">
            <w:pPr>
              <w:pStyle w:val="Paragraphedeliste"/>
              <w:numPr>
                <w:ilvl w:val="1"/>
                <w:numId w:val="46"/>
              </w:numPr>
              <w:spacing w:before="0"/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</w:pPr>
            <w:r w:rsidRPr="00D23D88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Actualisation des données publiées dans le site web du ministère en coordination avec les différentes directions.</w:t>
            </w:r>
          </w:p>
          <w:p w:rsidR="00D23D88" w:rsidRPr="00D23D88" w:rsidRDefault="00D23D88" w:rsidP="002760EA">
            <w:pPr>
              <w:pStyle w:val="Paragraphedeliste"/>
              <w:numPr>
                <w:ilvl w:val="1"/>
                <w:numId w:val="46"/>
              </w:numPr>
              <w:spacing w:before="240"/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</w:pPr>
            <w:r w:rsidRPr="00D23D88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Refonte du </w:t>
            </w:r>
            <w:r w:rsidR="002760EA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site web</w:t>
            </w:r>
            <w:r w:rsidRPr="00D23D88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 du ministère.</w:t>
            </w:r>
          </w:p>
          <w:p w:rsidR="00D23D88" w:rsidRPr="002760EA" w:rsidRDefault="00D23D88" w:rsidP="002760EA">
            <w:pPr>
              <w:pStyle w:val="Paragraphedeliste"/>
              <w:numPr>
                <w:ilvl w:val="0"/>
                <w:numId w:val="41"/>
              </w:numPr>
              <w:spacing w:before="240"/>
              <w:rPr>
                <w:rFonts w:ascii="Calibri" w:eastAsia="Times New Roman" w:hAnsi="Calibri" w:cs="Arabic Transparent"/>
                <w:snapToGrid w:val="0"/>
                <w:u w:val="single"/>
                <w:lang w:bidi="ar-MA"/>
              </w:rPr>
            </w:pPr>
            <w:r w:rsidRPr="002760EA">
              <w:rPr>
                <w:rFonts w:ascii="Calibri" w:eastAsia="Times New Roman" w:hAnsi="Calibri" w:cs="Arabic Transparent"/>
                <w:snapToGrid w:val="0"/>
                <w:u w:val="single"/>
                <w:lang w:bidi="ar-MA"/>
              </w:rPr>
              <w:t>Revue de presse quotidienne:</w:t>
            </w:r>
          </w:p>
          <w:p w:rsidR="00D23D88" w:rsidRPr="00D23D88" w:rsidRDefault="00D23D88" w:rsidP="002760EA">
            <w:pPr>
              <w:pStyle w:val="Paragraphedeliste"/>
              <w:numPr>
                <w:ilvl w:val="1"/>
                <w:numId w:val="47"/>
              </w:numPr>
              <w:spacing w:before="0"/>
              <w:rPr>
                <w:rFonts w:ascii="Calibri" w:eastAsia="Times New Roman" w:hAnsi="Calibri" w:cs="Arabic Transparent"/>
                <w:snapToGrid w:val="0"/>
                <w:sz w:val="18"/>
                <w:szCs w:val="18"/>
                <w:lang w:bidi="ar-MA"/>
              </w:rPr>
            </w:pPr>
            <w:r w:rsidRPr="00D23D88">
              <w:rPr>
                <w:rFonts w:ascii="Calibri" w:eastAsia="Times New Roman" w:hAnsi="Calibri" w:cs="Arabic Transparent"/>
                <w:snapToGrid w:val="0"/>
                <w:sz w:val="18"/>
                <w:szCs w:val="18"/>
                <w:lang w:bidi="ar-MA"/>
              </w:rPr>
              <w:t>Préparation de la revue quotidienne de la presse.</w:t>
            </w:r>
          </w:p>
          <w:p w:rsidR="00D23D88" w:rsidRPr="00D23D88" w:rsidRDefault="00D23D88" w:rsidP="002760EA">
            <w:pPr>
              <w:pStyle w:val="Paragraphedeliste"/>
              <w:numPr>
                <w:ilvl w:val="1"/>
                <w:numId w:val="47"/>
              </w:numPr>
              <w:spacing w:before="0"/>
              <w:rPr>
                <w:rFonts w:ascii="Calibri" w:eastAsia="Times New Roman" w:hAnsi="Calibri" w:cs="Arabic Transparent"/>
                <w:snapToGrid w:val="0"/>
                <w:sz w:val="18"/>
                <w:szCs w:val="18"/>
                <w:lang w:bidi="ar-MA"/>
              </w:rPr>
            </w:pPr>
            <w:r w:rsidRPr="00D23D88">
              <w:rPr>
                <w:rFonts w:ascii="Calibri" w:eastAsia="Times New Roman" w:hAnsi="Calibri" w:cs="Arabic Transparent"/>
                <w:snapToGrid w:val="0"/>
                <w:sz w:val="18"/>
                <w:szCs w:val="18"/>
                <w:lang w:bidi="ar-MA"/>
              </w:rPr>
              <w:t>Analyse quotidienne, hebdomadaire et mensuel de la presse: image du ministère dans la presse.</w:t>
            </w:r>
          </w:p>
          <w:p w:rsidR="002760EA" w:rsidRPr="002760EA" w:rsidRDefault="002760EA" w:rsidP="00D23D88">
            <w:pPr>
              <w:pStyle w:val="Paragraphedeliste"/>
              <w:numPr>
                <w:ilvl w:val="0"/>
                <w:numId w:val="41"/>
              </w:numPr>
              <w:spacing w:before="240"/>
              <w:rPr>
                <w:rFonts w:ascii="Calibri" w:eastAsia="Times New Roman" w:hAnsi="Calibri" w:cs="Arabic Transparent"/>
                <w:snapToGrid w:val="0"/>
                <w:u w:val="single"/>
                <w:lang w:bidi="ar-MA"/>
              </w:rPr>
            </w:pPr>
            <w:r w:rsidRPr="002760EA">
              <w:rPr>
                <w:rFonts w:ascii="Calibri" w:eastAsia="Times New Roman" w:hAnsi="Calibri" w:cs="Arabic Transparent"/>
                <w:snapToGrid w:val="0"/>
                <w:u w:val="single"/>
                <w:lang w:bidi="ar-MA"/>
              </w:rPr>
              <w:t>Communication :</w:t>
            </w:r>
          </w:p>
          <w:p w:rsidR="00D23D88" w:rsidRPr="00D23D88" w:rsidRDefault="00E22589" w:rsidP="002760EA">
            <w:pPr>
              <w:pStyle w:val="Paragraphedeliste"/>
              <w:numPr>
                <w:ilvl w:val="1"/>
                <w:numId w:val="41"/>
              </w:numPr>
              <w:spacing w:before="240"/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</w:pPr>
            <w:r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Etablissement de</w:t>
            </w:r>
            <w:r w:rsidR="00D23D88" w:rsidRPr="00D23D88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 relations avec la presse pour informer les medias de toutes les activités du ministère.</w:t>
            </w:r>
          </w:p>
          <w:p w:rsidR="002760EA" w:rsidRPr="002760EA" w:rsidRDefault="002760EA" w:rsidP="00D23D88">
            <w:pPr>
              <w:pStyle w:val="Paragraphedeliste"/>
              <w:numPr>
                <w:ilvl w:val="0"/>
                <w:numId w:val="41"/>
              </w:numPr>
              <w:spacing w:before="240"/>
              <w:rPr>
                <w:rFonts w:ascii="Calibri" w:eastAsia="Times New Roman" w:hAnsi="Calibri" w:cs="Arabic Transparent"/>
                <w:snapToGrid w:val="0"/>
                <w:u w:val="single"/>
                <w:lang w:bidi="ar-MA"/>
              </w:rPr>
            </w:pPr>
            <w:r w:rsidRPr="002760EA">
              <w:rPr>
                <w:rFonts w:ascii="Calibri" w:eastAsia="Times New Roman" w:hAnsi="Calibri" w:cs="Arabic Transparent"/>
                <w:snapToGrid w:val="0"/>
                <w:u w:val="single"/>
                <w:lang w:bidi="ar-MA"/>
              </w:rPr>
              <w:t>Centre de documentation :</w:t>
            </w:r>
          </w:p>
          <w:p w:rsidR="00D23D88" w:rsidRPr="002760EA" w:rsidRDefault="00D23D88" w:rsidP="006F0B40">
            <w:pPr>
              <w:pStyle w:val="Paragraphedeliste"/>
              <w:numPr>
                <w:ilvl w:val="1"/>
                <w:numId w:val="41"/>
              </w:numPr>
              <w:spacing w:before="240"/>
              <w:rPr>
                <w:rFonts w:ascii="Calibri" w:eastAsia="Times New Roman" w:hAnsi="Calibri" w:cs="Arabic Transparent"/>
                <w:b w:val="0"/>
                <w:bCs w:val="0"/>
                <w:snapToGrid w:val="0"/>
                <w:sz w:val="28"/>
                <w:szCs w:val="28"/>
                <w:lang w:bidi="ar-MA"/>
              </w:rPr>
            </w:pPr>
            <w:r w:rsidRPr="002760EA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Création d’un centre d’information et de documentation </w:t>
            </w:r>
            <w:r w:rsidR="006F0B40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au niveau du </w:t>
            </w:r>
            <w:r w:rsidRPr="002760EA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 ministère.</w:t>
            </w:r>
          </w:p>
          <w:p w:rsidR="002760EA" w:rsidRPr="00170111" w:rsidRDefault="00C40C25" w:rsidP="00E22589">
            <w:pPr>
              <w:pStyle w:val="Paragraphedeliste"/>
              <w:numPr>
                <w:ilvl w:val="1"/>
                <w:numId w:val="41"/>
              </w:numPr>
              <w:spacing w:before="240"/>
              <w:rPr>
                <w:rFonts w:ascii="Calibri" w:eastAsia="Times New Roman" w:hAnsi="Calibri" w:cs="Arabic Transparent"/>
                <w:b w:val="0"/>
                <w:bCs w:val="0"/>
                <w:snapToGrid w:val="0"/>
                <w:sz w:val="28"/>
                <w:szCs w:val="28"/>
                <w:lang w:bidi="ar-MA"/>
              </w:rPr>
            </w:pPr>
            <w:r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Développement </w:t>
            </w:r>
            <w:r w:rsidR="006F0B40" w:rsidRPr="006F0B40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d’</w:t>
            </w:r>
            <w:r w:rsidR="006F0B40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un por</w:t>
            </w:r>
            <w:r w:rsidR="006F0B40" w:rsidRPr="006F0B40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tail pour la documentation électronique</w:t>
            </w:r>
            <w:r w:rsidR="00E22589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 xml:space="preserve"> (en cours)</w:t>
            </w:r>
            <w:r w:rsidR="006F0B40">
              <w:rPr>
                <w:rFonts w:ascii="Calibri" w:eastAsia="Times New Roman" w:hAnsi="Calibri" w:cs="Arabic Transparent"/>
                <w:snapToGrid w:val="0"/>
                <w:sz w:val="20"/>
                <w:szCs w:val="20"/>
                <w:lang w:bidi="ar-MA"/>
              </w:rPr>
              <w:t>.</w:t>
            </w:r>
          </w:p>
          <w:p w:rsidR="00170111" w:rsidRPr="002760EA" w:rsidRDefault="00170111" w:rsidP="00170111">
            <w:pPr>
              <w:pStyle w:val="Paragraphedeliste"/>
              <w:spacing w:before="240"/>
              <w:ind w:left="1440"/>
              <w:rPr>
                <w:rFonts w:ascii="Calibri" w:eastAsia="Times New Roman" w:hAnsi="Calibri" w:cs="Arabic Transparent"/>
                <w:b w:val="0"/>
                <w:bCs w:val="0"/>
                <w:snapToGrid w:val="0"/>
                <w:sz w:val="28"/>
                <w:szCs w:val="28"/>
                <w:rtl/>
                <w:lang w:bidi="ar-MA"/>
              </w:rPr>
            </w:pPr>
          </w:p>
        </w:tc>
      </w:tr>
    </w:tbl>
    <w:p w:rsidR="00020D4F" w:rsidRPr="006F0B40" w:rsidRDefault="00020D4F" w:rsidP="00020D4F">
      <w:pPr>
        <w:bidi/>
      </w:pPr>
    </w:p>
    <w:sectPr w:rsidR="00020D4F" w:rsidRPr="006F0B40" w:rsidSect="00075C7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2pt;height:12pt" o:bullet="t">
        <v:imagedata r:id="rId1" o:title="msoB3D5"/>
      </v:shape>
    </w:pict>
  </w:numPicBullet>
  <w:numPicBullet w:numPicBulletId="1">
    <w:pict>
      <v:shape id="_x0000_i1087" type="#_x0000_t75" style="width:12pt;height:12pt" o:bullet="t">
        <v:imagedata r:id="rId2" o:title="msoFBD8"/>
      </v:shape>
    </w:pict>
  </w:numPicBullet>
  <w:abstractNum w:abstractNumId="0">
    <w:nsid w:val="03394D21"/>
    <w:multiLevelType w:val="hybridMultilevel"/>
    <w:tmpl w:val="4A68CF96"/>
    <w:lvl w:ilvl="0" w:tplc="D5ACE07A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4F02C0E"/>
    <w:multiLevelType w:val="hybridMultilevel"/>
    <w:tmpl w:val="7C16BE26"/>
    <w:lvl w:ilvl="0" w:tplc="040C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>
    <w:nsid w:val="0BB6652D"/>
    <w:multiLevelType w:val="hybridMultilevel"/>
    <w:tmpl w:val="404282C0"/>
    <w:lvl w:ilvl="0" w:tplc="DEB0C820">
      <w:start w:val="1"/>
      <w:numFmt w:val="bullet"/>
      <w:lvlText w:val=""/>
      <w:lvlPicBulletId w:val="0"/>
      <w:lvlJc w:val="righ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E5F79C3"/>
    <w:multiLevelType w:val="hybridMultilevel"/>
    <w:tmpl w:val="E2240D26"/>
    <w:lvl w:ilvl="0" w:tplc="D5ACE07A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>
    <w:nsid w:val="113D1461"/>
    <w:multiLevelType w:val="hybridMultilevel"/>
    <w:tmpl w:val="6B5C3F26"/>
    <w:lvl w:ilvl="0" w:tplc="0D40C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E30E47"/>
    <w:multiLevelType w:val="hybridMultilevel"/>
    <w:tmpl w:val="551A479E"/>
    <w:lvl w:ilvl="0" w:tplc="455E9AD4">
      <w:numFmt w:val="bullet"/>
      <w:lvlText w:val="-"/>
      <w:lvlJc w:val="left"/>
      <w:pPr>
        <w:ind w:left="677" w:hanging="360"/>
      </w:pPr>
      <w:rPr>
        <w:rFonts w:ascii="Calibri" w:eastAsiaTheme="minorHAnsi" w:hAnsi="Calibri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1BFD62A5"/>
    <w:multiLevelType w:val="hybridMultilevel"/>
    <w:tmpl w:val="90D26E84"/>
    <w:lvl w:ilvl="0" w:tplc="2DD4962C">
      <w:start w:val="1"/>
      <w:numFmt w:val="bullet"/>
      <w:lvlText w:val=""/>
      <w:lvlPicBulletId w:val="0"/>
      <w:lvlJc w:val="left"/>
      <w:pPr>
        <w:ind w:left="1056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1D0752DB"/>
    <w:multiLevelType w:val="hybridMultilevel"/>
    <w:tmpl w:val="31807FE2"/>
    <w:lvl w:ilvl="0" w:tplc="BA04CB8E">
      <w:numFmt w:val="bullet"/>
      <w:lvlText w:val="-"/>
      <w:lvlJc w:val="left"/>
      <w:pPr>
        <w:ind w:left="360" w:hanging="360"/>
      </w:pPr>
      <w:rPr>
        <w:rFonts w:ascii="Calibri" w:eastAsia="Times New Roman" w:hAnsi="Calibri" w:cs="Arabic Transparent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0A3C2C"/>
    <w:multiLevelType w:val="hybridMultilevel"/>
    <w:tmpl w:val="3DA2F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235EBB"/>
    <w:multiLevelType w:val="hybridMultilevel"/>
    <w:tmpl w:val="E1F641B4"/>
    <w:lvl w:ilvl="0" w:tplc="101C73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09484E"/>
    <w:multiLevelType w:val="hybridMultilevel"/>
    <w:tmpl w:val="591ACAE0"/>
    <w:lvl w:ilvl="0" w:tplc="040C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23FA6CDD"/>
    <w:multiLevelType w:val="hybridMultilevel"/>
    <w:tmpl w:val="4B2A0334"/>
    <w:lvl w:ilvl="0" w:tplc="BA04CB8E">
      <w:numFmt w:val="bullet"/>
      <w:lvlText w:val="-"/>
      <w:lvlJc w:val="left"/>
      <w:pPr>
        <w:ind w:left="360" w:hanging="360"/>
      </w:pPr>
      <w:rPr>
        <w:rFonts w:ascii="Calibri" w:eastAsia="Times New Roman" w:hAnsi="Calibri" w:cs="Arabic Transparent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F12363"/>
    <w:multiLevelType w:val="hybridMultilevel"/>
    <w:tmpl w:val="AD9CBC06"/>
    <w:lvl w:ilvl="0" w:tplc="AAF4E0DC">
      <w:numFmt w:val="bullet"/>
      <w:lvlText w:val="-"/>
      <w:lvlJc w:val="left"/>
      <w:pPr>
        <w:ind w:left="-2520" w:hanging="360"/>
      </w:pPr>
      <w:rPr>
        <w:rFonts w:ascii="Calibri" w:eastAsia="Times New Roman" w:hAnsi="Calibri" w:cs="Arabic Transparent" w:hint="default"/>
        <w:b w:val="0"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32291E7B"/>
    <w:multiLevelType w:val="hybridMultilevel"/>
    <w:tmpl w:val="F962EA10"/>
    <w:lvl w:ilvl="0" w:tplc="2DD49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8962DE2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D0AA7"/>
    <w:multiLevelType w:val="hybridMultilevel"/>
    <w:tmpl w:val="AB7AD230"/>
    <w:lvl w:ilvl="0" w:tplc="D5ACE07A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>
    <w:nsid w:val="34BE1231"/>
    <w:multiLevelType w:val="hybridMultilevel"/>
    <w:tmpl w:val="1408FAEE"/>
    <w:lvl w:ilvl="0" w:tplc="D5ACE07A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>
    <w:nsid w:val="35037E21"/>
    <w:multiLevelType w:val="hybridMultilevel"/>
    <w:tmpl w:val="242C0AA4"/>
    <w:lvl w:ilvl="0" w:tplc="D5ACE07A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35553085"/>
    <w:multiLevelType w:val="hybridMultilevel"/>
    <w:tmpl w:val="4EEAF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6636D"/>
    <w:multiLevelType w:val="hybridMultilevel"/>
    <w:tmpl w:val="3348A6FE"/>
    <w:lvl w:ilvl="0" w:tplc="08090005">
      <w:start w:val="1"/>
      <w:numFmt w:val="bullet"/>
      <w:lvlText w:val=""/>
      <w:lvlPicBulletId w:val="1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F32FAF"/>
    <w:multiLevelType w:val="hybridMultilevel"/>
    <w:tmpl w:val="18B677B0"/>
    <w:lvl w:ilvl="0" w:tplc="D5ACE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43A3A"/>
    <w:multiLevelType w:val="hybridMultilevel"/>
    <w:tmpl w:val="BEB4A51C"/>
    <w:lvl w:ilvl="0" w:tplc="7038B1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064F9"/>
    <w:multiLevelType w:val="hybridMultilevel"/>
    <w:tmpl w:val="BEB4A51C"/>
    <w:lvl w:ilvl="0" w:tplc="7038B1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32173"/>
    <w:multiLevelType w:val="hybridMultilevel"/>
    <w:tmpl w:val="075CA5A6"/>
    <w:lvl w:ilvl="0" w:tplc="4A3C58C2">
      <w:start w:val="4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E1B77"/>
    <w:multiLevelType w:val="hybridMultilevel"/>
    <w:tmpl w:val="8D1E5D58"/>
    <w:lvl w:ilvl="0" w:tplc="8962DE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918D6"/>
    <w:multiLevelType w:val="hybridMultilevel"/>
    <w:tmpl w:val="EF24E450"/>
    <w:lvl w:ilvl="0" w:tplc="CC684EC8">
      <w:start w:val="2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65286"/>
    <w:multiLevelType w:val="hybridMultilevel"/>
    <w:tmpl w:val="A6B02222"/>
    <w:lvl w:ilvl="0" w:tplc="BD445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34A7E"/>
    <w:multiLevelType w:val="hybridMultilevel"/>
    <w:tmpl w:val="EAC40704"/>
    <w:lvl w:ilvl="0" w:tplc="59B844BE">
      <w:start w:val="3"/>
      <w:numFmt w:val="arabicAlpha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509C5"/>
    <w:multiLevelType w:val="hybridMultilevel"/>
    <w:tmpl w:val="E802222C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675828"/>
    <w:multiLevelType w:val="hybridMultilevel"/>
    <w:tmpl w:val="66707546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C2B12"/>
    <w:multiLevelType w:val="hybridMultilevel"/>
    <w:tmpl w:val="CD32A0A4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F42233"/>
    <w:multiLevelType w:val="hybridMultilevel"/>
    <w:tmpl w:val="5A888A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F648E31E">
      <w:start w:val="1"/>
      <w:numFmt w:val="arabicAlpha"/>
      <w:lvlText w:val="%9."/>
      <w:lvlJc w:val="left"/>
      <w:pPr>
        <w:ind w:left="6120" w:hanging="180"/>
      </w:pPr>
      <w:rPr>
        <w:rFonts w:hint="default"/>
        <w:b/>
        <w:bCs/>
        <w:sz w:val="24"/>
        <w:szCs w:val="24"/>
      </w:rPr>
    </w:lvl>
  </w:abstractNum>
  <w:abstractNum w:abstractNumId="31">
    <w:nsid w:val="673B7FD9"/>
    <w:multiLevelType w:val="hybridMultilevel"/>
    <w:tmpl w:val="BEB4A51C"/>
    <w:lvl w:ilvl="0" w:tplc="7038B1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768E8"/>
    <w:multiLevelType w:val="hybridMultilevel"/>
    <w:tmpl w:val="AC8E5392"/>
    <w:lvl w:ilvl="0" w:tplc="D5ACE07A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>
    <w:nsid w:val="6ABA3E30"/>
    <w:multiLevelType w:val="hybridMultilevel"/>
    <w:tmpl w:val="037E4460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4">
    <w:nsid w:val="6D407838"/>
    <w:multiLevelType w:val="hybridMultilevel"/>
    <w:tmpl w:val="DFCAC99C"/>
    <w:lvl w:ilvl="0" w:tplc="C4604D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F33C2"/>
    <w:multiLevelType w:val="hybridMultilevel"/>
    <w:tmpl w:val="83584BA6"/>
    <w:lvl w:ilvl="0" w:tplc="776E32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F1F65"/>
    <w:multiLevelType w:val="hybridMultilevel"/>
    <w:tmpl w:val="13981FA0"/>
    <w:lvl w:ilvl="0" w:tplc="2DD49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BFD4B33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6D47D3"/>
    <w:multiLevelType w:val="hybridMultilevel"/>
    <w:tmpl w:val="BEB4A51C"/>
    <w:lvl w:ilvl="0" w:tplc="7038B1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70CFA"/>
    <w:multiLevelType w:val="hybridMultilevel"/>
    <w:tmpl w:val="6F70ADC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1F16B1B"/>
    <w:multiLevelType w:val="hybridMultilevel"/>
    <w:tmpl w:val="C13811B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EE9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DD3F99"/>
    <w:multiLevelType w:val="hybridMultilevel"/>
    <w:tmpl w:val="27E84662"/>
    <w:lvl w:ilvl="0" w:tplc="2DD49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8962DE2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CE6176"/>
    <w:multiLevelType w:val="hybridMultilevel"/>
    <w:tmpl w:val="4098698E"/>
    <w:lvl w:ilvl="0" w:tplc="05365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31BD6"/>
    <w:multiLevelType w:val="hybridMultilevel"/>
    <w:tmpl w:val="94642622"/>
    <w:lvl w:ilvl="0" w:tplc="572C983A">
      <w:numFmt w:val="bullet"/>
      <w:lvlText w:val="-"/>
      <w:lvlJc w:val="left"/>
      <w:pPr>
        <w:ind w:left="360" w:hanging="360"/>
      </w:pPr>
      <w:rPr>
        <w:rFonts w:ascii="Calibri" w:eastAsia="Times New Roman" w:hAnsi="Calibri" w:cs="Arabic Transparent" w:hint="default"/>
        <w:b w:val="0"/>
        <w:bCs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1678D0"/>
    <w:multiLevelType w:val="hybridMultilevel"/>
    <w:tmpl w:val="BE381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AC415A2"/>
    <w:multiLevelType w:val="hybridMultilevel"/>
    <w:tmpl w:val="3BB85DEE"/>
    <w:lvl w:ilvl="0" w:tplc="D5ACE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C901FD"/>
    <w:multiLevelType w:val="hybridMultilevel"/>
    <w:tmpl w:val="C59ED6E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DAA4535"/>
    <w:multiLevelType w:val="hybridMultilevel"/>
    <w:tmpl w:val="7A92BA3C"/>
    <w:lvl w:ilvl="0" w:tplc="BA04CB8E">
      <w:numFmt w:val="bullet"/>
      <w:lvlText w:val="-"/>
      <w:lvlJc w:val="left"/>
      <w:pPr>
        <w:ind w:left="720" w:hanging="360"/>
      </w:pPr>
      <w:rPr>
        <w:rFonts w:ascii="Calibri" w:eastAsia="Times New Roman" w:hAnsi="Calibri" w:cs="Arabic Transparent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"/>
  </w:num>
  <w:num w:numId="3">
    <w:abstractNumId w:val="25"/>
  </w:num>
  <w:num w:numId="4">
    <w:abstractNumId w:val="45"/>
  </w:num>
  <w:num w:numId="5">
    <w:abstractNumId w:val="5"/>
  </w:num>
  <w:num w:numId="6">
    <w:abstractNumId w:val="35"/>
  </w:num>
  <w:num w:numId="7">
    <w:abstractNumId w:val="30"/>
  </w:num>
  <w:num w:numId="8">
    <w:abstractNumId w:val="8"/>
  </w:num>
  <w:num w:numId="9">
    <w:abstractNumId w:val="19"/>
  </w:num>
  <w:num w:numId="10">
    <w:abstractNumId w:val="3"/>
  </w:num>
  <w:num w:numId="11">
    <w:abstractNumId w:val="32"/>
  </w:num>
  <w:num w:numId="12">
    <w:abstractNumId w:val="0"/>
  </w:num>
  <w:num w:numId="13">
    <w:abstractNumId w:val="14"/>
  </w:num>
  <w:num w:numId="14">
    <w:abstractNumId w:val="16"/>
  </w:num>
  <w:num w:numId="15">
    <w:abstractNumId w:val="15"/>
  </w:num>
  <w:num w:numId="16">
    <w:abstractNumId w:val="2"/>
  </w:num>
  <w:num w:numId="17">
    <w:abstractNumId w:val="28"/>
  </w:num>
  <w:num w:numId="18">
    <w:abstractNumId w:val="24"/>
  </w:num>
  <w:num w:numId="19">
    <w:abstractNumId w:val="26"/>
  </w:num>
  <w:num w:numId="20">
    <w:abstractNumId w:val="22"/>
  </w:num>
  <w:num w:numId="21">
    <w:abstractNumId w:val="34"/>
  </w:num>
  <w:num w:numId="22">
    <w:abstractNumId w:val="27"/>
  </w:num>
  <w:num w:numId="23">
    <w:abstractNumId w:val="6"/>
  </w:num>
  <w:num w:numId="24">
    <w:abstractNumId w:val="21"/>
  </w:num>
  <w:num w:numId="25">
    <w:abstractNumId w:val="20"/>
  </w:num>
  <w:num w:numId="26">
    <w:abstractNumId w:val="37"/>
  </w:num>
  <w:num w:numId="27">
    <w:abstractNumId w:val="31"/>
  </w:num>
  <w:num w:numId="28">
    <w:abstractNumId w:val="4"/>
  </w:num>
  <w:num w:numId="29">
    <w:abstractNumId w:val="9"/>
  </w:num>
  <w:num w:numId="30">
    <w:abstractNumId w:val="41"/>
  </w:num>
  <w:num w:numId="31">
    <w:abstractNumId w:val="1"/>
  </w:num>
  <w:num w:numId="32">
    <w:abstractNumId w:val="44"/>
  </w:num>
  <w:num w:numId="33">
    <w:abstractNumId w:val="33"/>
  </w:num>
  <w:num w:numId="34">
    <w:abstractNumId w:val="10"/>
  </w:num>
  <w:num w:numId="35">
    <w:abstractNumId w:val="18"/>
  </w:num>
  <w:num w:numId="36">
    <w:abstractNumId w:val="12"/>
  </w:num>
  <w:num w:numId="37">
    <w:abstractNumId w:val="11"/>
  </w:num>
  <w:num w:numId="38">
    <w:abstractNumId w:val="42"/>
  </w:num>
  <w:num w:numId="39">
    <w:abstractNumId w:val="46"/>
  </w:num>
  <w:num w:numId="40">
    <w:abstractNumId w:val="39"/>
  </w:num>
  <w:num w:numId="41">
    <w:abstractNumId w:val="36"/>
  </w:num>
  <w:num w:numId="42">
    <w:abstractNumId w:val="17"/>
  </w:num>
  <w:num w:numId="43">
    <w:abstractNumId w:val="38"/>
  </w:num>
  <w:num w:numId="44">
    <w:abstractNumId w:val="29"/>
  </w:num>
  <w:num w:numId="45">
    <w:abstractNumId w:val="23"/>
  </w:num>
  <w:num w:numId="46">
    <w:abstractNumId w:val="40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B2D"/>
    <w:rsid w:val="0000639D"/>
    <w:rsid w:val="00007778"/>
    <w:rsid w:val="00010BEF"/>
    <w:rsid w:val="00011F74"/>
    <w:rsid w:val="00012B62"/>
    <w:rsid w:val="00012C4B"/>
    <w:rsid w:val="000166CD"/>
    <w:rsid w:val="00020054"/>
    <w:rsid w:val="00020D4F"/>
    <w:rsid w:val="00036AF6"/>
    <w:rsid w:val="000405C0"/>
    <w:rsid w:val="00040FF9"/>
    <w:rsid w:val="00042C7A"/>
    <w:rsid w:val="00060F7E"/>
    <w:rsid w:val="00073AD5"/>
    <w:rsid w:val="000753A6"/>
    <w:rsid w:val="00075C77"/>
    <w:rsid w:val="000B536C"/>
    <w:rsid w:val="000B5A00"/>
    <w:rsid w:val="000B77B9"/>
    <w:rsid w:val="000B7B92"/>
    <w:rsid w:val="000C5F64"/>
    <w:rsid w:val="000E7A61"/>
    <w:rsid w:val="000E7D8B"/>
    <w:rsid w:val="001435EB"/>
    <w:rsid w:val="00170111"/>
    <w:rsid w:val="001705E8"/>
    <w:rsid w:val="0017626D"/>
    <w:rsid w:val="00195CF1"/>
    <w:rsid w:val="0019683A"/>
    <w:rsid w:val="001C3403"/>
    <w:rsid w:val="001C4E42"/>
    <w:rsid w:val="001C5432"/>
    <w:rsid w:val="001D011F"/>
    <w:rsid w:val="001F0361"/>
    <w:rsid w:val="001F2615"/>
    <w:rsid w:val="002034D0"/>
    <w:rsid w:val="00212001"/>
    <w:rsid w:val="00216A2D"/>
    <w:rsid w:val="00220C39"/>
    <w:rsid w:val="0022387E"/>
    <w:rsid w:val="00264B4E"/>
    <w:rsid w:val="00265342"/>
    <w:rsid w:val="002760EA"/>
    <w:rsid w:val="0027768D"/>
    <w:rsid w:val="00290F92"/>
    <w:rsid w:val="0029542F"/>
    <w:rsid w:val="002A7646"/>
    <w:rsid w:val="002B051E"/>
    <w:rsid w:val="002B547C"/>
    <w:rsid w:val="002D5FD3"/>
    <w:rsid w:val="002E1C5A"/>
    <w:rsid w:val="002E2729"/>
    <w:rsid w:val="002E75F5"/>
    <w:rsid w:val="002F36F1"/>
    <w:rsid w:val="00301B68"/>
    <w:rsid w:val="00324C33"/>
    <w:rsid w:val="00335261"/>
    <w:rsid w:val="00345FA9"/>
    <w:rsid w:val="00361B2D"/>
    <w:rsid w:val="003674D1"/>
    <w:rsid w:val="00373AEE"/>
    <w:rsid w:val="003A43E3"/>
    <w:rsid w:val="003A5229"/>
    <w:rsid w:val="003D41D4"/>
    <w:rsid w:val="003E18FD"/>
    <w:rsid w:val="003E681A"/>
    <w:rsid w:val="003F3D05"/>
    <w:rsid w:val="00402BB4"/>
    <w:rsid w:val="00431644"/>
    <w:rsid w:val="00435CA1"/>
    <w:rsid w:val="00436929"/>
    <w:rsid w:val="00454A9D"/>
    <w:rsid w:val="004807DD"/>
    <w:rsid w:val="00490EF5"/>
    <w:rsid w:val="00497192"/>
    <w:rsid w:val="004B11BD"/>
    <w:rsid w:val="004B33EB"/>
    <w:rsid w:val="004C3136"/>
    <w:rsid w:val="004C6AC1"/>
    <w:rsid w:val="004C760D"/>
    <w:rsid w:val="004C7ECB"/>
    <w:rsid w:val="004D05D6"/>
    <w:rsid w:val="004D1CB9"/>
    <w:rsid w:val="0050584A"/>
    <w:rsid w:val="00513E01"/>
    <w:rsid w:val="00524B83"/>
    <w:rsid w:val="005321BC"/>
    <w:rsid w:val="0053331F"/>
    <w:rsid w:val="00583086"/>
    <w:rsid w:val="00587AAA"/>
    <w:rsid w:val="005B24B3"/>
    <w:rsid w:val="005C5F3A"/>
    <w:rsid w:val="005E3FEE"/>
    <w:rsid w:val="005F6757"/>
    <w:rsid w:val="005F76C8"/>
    <w:rsid w:val="006312CB"/>
    <w:rsid w:val="00632E67"/>
    <w:rsid w:val="006336EC"/>
    <w:rsid w:val="00641606"/>
    <w:rsid w:val="00642921"/>
    <w:rsid w:val="00656CA7"/>
    <w:rsid w:val="006944AA"/>
    <w:rsid w:val="006A4C3C"/>
    <w:rsid w:val="006B2E2F"/>
    <w:rsid w:val="006C5F33"/>
    <w:rsid w:val="006C6CEF"/>
    <w:rsid w:val="006D2378"/>
    <w:rsid w:val="006D2EC8"/>
    <w:rsid w:val="006E01F8"/>
    <w:rsid w:val="006E0A38"/>
    <w:rsid w:val="006F0B40"/>
    <w:rsid w:val="006F0EA8"/>
    <w:rsid w:val="006F7622"/>
    <w:rsid w:val="00707D90"/>
    <w:rsid w:val="00717789"/>
    <w:rsid w:val="007178AF"/>
    <w:rsid w:val="00720183"/>
    <w:rsid w:val="007358F3"/>
    <w:rsid w:val="007374D5"/>
    <w:rsid w:val="00742CD4"/>
    <w:rsid w:val="0077606D"/>
    <w:rsid w:val="0078169A"/>
    <w:rsid w:val="007840CF"/>
    <w:rsid w:val="0078635B"/>
    <w:rsid w:val="007A6416"/>
    <w:rsid w:val="007A711E"/>
    <w:rsid w:val="007C1400"/>
    <w:rsid w:val="007E544B"/>
    <w:rsid w:val="007F26BC"/>
    <w:rsid w:val="00803814"/>
    <w:rsid w:val="008115D0"/>
    <w:rsid w:val="00870F0E"/>
    <w:rsid w:val="00876DE8"/>
    <w:rsid w:val="00884B40"/>
    <w:rsid w:val="008938CA"/>
    <w:rsid w:val="008C0A9B"/>
    <w:rsid w:val="008C7741"/>
    <w:rsid w:val="00905BEA"/>
    <w:rsid w:val="00906FFE"/>
    <w:rsid w:val="00932892"/>
    <w:rsid w:val="009328DD"/>
    <w:rsid w:val="00941631"/>
    <w:rsid w:val="00941D24"/>
    <w:rsid w:val="00951CA1"/>
    <w:rsid w:val="009538D4"/>
    <w:rsid w:val="009602FD"/>
    <w:rsid w:val="00973C5D"/>
    <w:rsid w:val="00980590"/>
    <w:rsid w:val="00981C88"/>
    <w:rsid w:val="00982196"/>
    <w:rsid w:val="009A56C0"/>
    <w:rsid w:val="009B295F"/>
    <w:rsid w:val="009C400C"/>
    <w:rsid w:val="009C514D"/>
    <w:rsid w:val="009C545F"/>
    <w:rsid w:val="009E3B8F"/>
    <w:rsid w:val="009F16E1"/>
    <w:rsid w:val="009F26A3"/>
    <w:rsid w:val="009F46DF"/>
    <w:rsid w:val="00A04F28"/>
    <w:rsid w:val="00A25744"/>
    <w:rsid w:val="00A30E99"/>
    <w:rsid w:val="00A5173B"/>
    <w:rsid w:val="00A671CF"/>
    <w:rsid w:val="00A706B9"/>
    <w:rsid w:val="00A81B8B"/>
    <w:rsid w:val="00AA276B"/>
    <w:rsid w:val="00AA3265"/>
    <w:rsid w:val="00AC5085"/>
    <w:rsid w:val="00AC599C"/>
    <w:rsid w:val="00AD5422"/>
    <w:rsid w:val="00AD653A"/>
    <w:rsid w:val="00AF326A"/>
    <w:rsid w:val="00AF7FCE"/>
    <w:rsid w:val="00B01B23"/>
    <w:rsid w:val="00B03D4E"/>
    <w:rsid w:val="00B171E3"/>
    <w:rsid w:val="00B17776"/>
    <w:rsid w:val="00B17A71"/>
    <w:rsid w:val="00B22879"/>
    <w:rsid w:val="00B536FB"/>
    <w:rsid w:val="00B574DE"/>
    <w:rsid w:val="00B61A7A"/>
    <w:rsid w:val="00B80A83"/>
    <w:rsid w:val="00B87C4B"/>
    <w:rsid w:val="00BC0A1F"/>
    <w:rsid w:val="00BF68E3"/>
    <w:rsid w:val="00C12328"/>
    <w:rsid w:val="00C1437D"/>
    <w:rsid w:val="00C22BAD"/>
    <w:rsid w:val="00C403E9"/>
    <w:rsid w:val="00C40C25"/>
    <w:rsid w:val="00C6711C"/>
    <w:rsid w:val="00C84723"/>
    <w:rsid w:val="00C849FE"/>
    <w:rsid w:val="00C86921"/>
    <w:rsid w:val="00C962D5"/>
    <w:rsid w:val="00CB1DF6"/>
    <w:rsid w:val="00CB7FAB"/>
    <w:rsid w:val="00CC356B"/>
    <w:rsid w:val="00CD1366"/>
    <w:rsid w:val="00CD3F0A"/>
    <w:rsid w:val="00CF7C3D"/>
    <w:rsid w:val="00D06057"/>
    <w:rsid w:val="00D10CF2"/>
    <w:rsid w:val="00D20CAD"/>
    <w:rsid w:val="00D23D88"/>
    <w:rsid w:val="00D3303F"/>
    <w:rsid w:val="00D337C9"/>
    <w:rsid w:val="00D74DEA"/>
    <w:rsid w:val="00D7745B"/>
    <w:rsid w:val="00D82DA2"/>
    <w:rsid w:val="00D8712D"/>
    <w:rsid w:val="00D9383E"/>
    <w:rsid w:val="00DA3909"/>
    <w:rsid w:val="00DA47D2"/>
    <w:rsid w:val="00DB7A8A"/>
    <w:rsid w:val="00DC1F37"/>
    <w:rsid w:val="00DC6EC1"/>
    <w:rsid w:val="00DD5A2E"/>
    <w:rsid w:val="00DD6E09"/>
    <w:rsid w:val="00DE78AE"/>
    <w:rsid w:val="00E01748"/>
    <w:rsid w:val="00E22589"/>
    <w:rsid w:val="00E3053E"/>
    <w:rsid w:val="00E36A6E"/>
    <w:rsid w:val="00E542B5"/>
    <w:rsid w:val="00E643AC"/>
    <w:rsid w:val="00E6774C"/>
    <w:rsid w:val="00E81257"/>
    <w:rsid w:val="00E81BFF"/>
    <w:rsid w:val="00E91667"/>
    <w:rsid w:val="00E95E67"/>
    <w:rsid w:val="00EA006E"/>
    <w:rsid w:val="00EB75A1"/>
    <w:rsid w:val="00EC175A"/>
    <w:rsid w:val="00EC41ED"/>
    <w:rsid w:val="00ED5415"/>
    <w:rsid w:val="00ED7606"/>
    <w:rsid w:val="00EE11A3"/>
    <w:rsid w:val="00EE1B32"/>
    <w:rsid w:val="00EF416D"/>
    <w:rsid w:val="00F05484"/>
    <w:rsid w:val="00F10097"/>
    <w:rsid w:val="00F215E9"/>
    <w:rsid w:val="00F270D2"/>
    <w:rsid w:val="00F404E0"/>
    <w:rsid w:val="00F46B63"/>
    <w:rsid w:val="00F46E61"/>
    <w:rsid w:val="00F55911"/>
    <w:rsid w:val="00F70DCC"/>
    <w:rsid w:val="00F86E69"/>
    <w:rsid w:val="00FA0F5B"/>
    <w:rsid w:val="00FB0F5A"/>
    <w:rsid w:val="00FB1138"/>
    <w:rsid w:val="00FB4FB4"/>
    <w:rsid w:val="00FC7A2F"/>
    <w:rsid w:val="00FD6163"/>
    <w:rsid w:val="00FE163D"/>
    <w:rsid w:val="00FE356C"/>
    <w:rsid w:val="00FF08D8"/>
    <w:rsid w:val="00FF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6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B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B17776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aliases w:val="Paragraphe de liste du rapport"/>
    <w:basedOn w:val="Normal"/>
    <w:link w:val="ParagraphedelisteCar"/>
    <w:uiPriority w:val="34"/>
    <w:qFormat/>
    <w:rsid w:val="00B17776"/>
    <w:pPr>
      <w:spacing w:before="120" w:after="0" w:line="240" w:lineRule="auto"/>
      <w:ind w:left="720"/>
      <w:contextualSpacing/>
    </w:pPr>
  </w:style>
  <w:style w:type="character" w:customStyle="1" w:styleId="ParagraphedelisteCar">
    <w:name w:val="Paragraphe de liste Car"/>
    <w:aliases w:val="Paragraphe de liste du rapport Car"/>
    <w:link w:val="Paragraphedeliste"/>
    <w:uiPriority w:val="34"/>
    <w:rsid w:val="00B17776"/>
  </w:style>
  <w:style w:type="table" w:customStyle="1" w:styleId="Tramemoyenne1-Accent11">
    <w:name w:val="Trame moyenne 1 - Accent 11"/>
    <w:basedOn w:val="TableauNormal"/>
    <w:uiPriority w:val="63"/>
    <w:rsid w:val="00B17776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traitcorpsdetexte2">
    <w:name w:val="Body Text Indent 2"/>
    <w:basedOn w:val="Normal"/>
    <w:link w:val="Retraitcorpsdetexte2Car"/>
    <w:rsid w:val="00B17776"/>
    <w:pPr>
      <w:bidi/>
      <w:spacing w:after="240" w:line="480" w:lineRule="auto"/>
      <w:ind w:left="360" w:firstLine="360"/>
      <w:jc w:val="lowKashida"/>
    </w:pPr>
    <w:rPr>
      <w:rFonts w:ascii="Calibri" w:eastAsia="Times New Roman" w:hAnsi="Calibri" w:cs="Traditional Arabic"/>
      <w:snapToGrid w:val="0"/>
      <w:sz w:val="36"/>
      <w:szCs w:val="36"/>
      <w:lang w:val="en-US" w:bidi="en-US"/>
    </w:rPr>
  </w:style>
  <w:style w:type="character" w:customStyle="1" w:styleId="Retraitcorpsdetexte2Car">
    <w:name w:val="Retrait corps de texte 2 Car"/>
    <w:basedOn w:val="Policepardfaut"/>
    <w:link w:val="Retraitcorpsdetexte2"/>
    <w:rsid w:val="00B17776"/>
    <w:rPr>
      <w:rFonts w:ascii="Calibri" w:eastAsia="Times New Roman" w:hAnsi="Calibri" w:cs="Traditional Arabic"/>
      <w:snapToGrid w:val="0"/>
      <w:sz w:val="36"/>
      <w:szCs w:val="36"/>
      <w:lang w:val="en-US" w:bidi="en-US"/>
    </w:rPr>
  </w:style>
  <w:style w:type="table" w:styleId="Grillemoyenne1-Accent1">
    <w:name w:val="Medium Grid 1 Accent 1"/>
    <w:basedOn w:val="TableauNormal"/>
    <w:uiPriority w:val="67"/>
    <w:rsid w:val="00B177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ieddepage">
    <w:name w:val="footer"/>
    <w:basedOn w:val="Normal"/>
    <w:link w:val="PieddepageCar"/>
    <w:uiPriority w:val="99"/>
    <w:semiHidden/>
    <w:unhideWhenUsed/>
    <w:rsid w:val="00C84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49FE"/>
  </w:style>
  <w:style w:type="table" w:styleId="Grillemoyenne1-Accent3">
    <w:name w:val="Medium Grid 1 Accent 3"/>
    <w:basedOn w:val="TableauNormal"/>
    <w:uiPriority w:val="67"/>
    <w:rsid w:val="00B80A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Retraitcorpsdetexte">
    <w:name w:val="Body Text Indent"/>
    <w:basedOn w:val="Normal"/>
    <w:link w:val="RetraitcorpsdetexteCar"/>
    <w:uiPriority w:val="99"/>
    <w:unhideWhenUsed/>
    <w:rsid w:val="0058308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83086"/>
  </w:style>
  <w:style w:type="paragraph" w:styleId="NormalWeb">
    <w:name w:val="Normal (Web)"/>
    <w:basedOn w:val="Normal"/>
    <w:uiPriority w:val="99"/>
    <w:unhideWhenUsed/>
    <w:rsid w:val="00C8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moyenne1-Accent5">
    <w:name w:val="Medium Grid 1 Accent 5"/>
    <w:basedOn w:val="TableauNormal"/>
    <w:uiPriority w:val="67"/>
    <w:rsid w:val="00F27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eclaire-Accent3">
    <w:name w:val="Light List Accent 3"/>
    <w:basedOn w:val="TableauNormal"/>
    <w:uiPriority w:val="61"/>
    <w:rsid w:val="009F46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0405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1-Accent3">
    <w:name w:val="Medium Shading 1 Accent 3"/>
    <w:basedOn w:val="TableauNormal"/>
    <w:uiPriority w:val="63"/>
    <w:rsid w:val="00BC0A1F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nazih\AppData\Roaming\Microsoft\Excel\Classeur1%20(version%201)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lasseur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8.8779435593371259E-2"/>
          <c:y val="0.32302542321517747"/>
          <c:w val="0.41340398176045506"/>
          <c:h val="0.48421224398454127"/>
        </c:manualLayout>
      </c:layout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showPercent val="1"/>
            <c:showLeaderLines val="1"/>
          </c:dLbls>
          <c:cat>
            <c:strRef>
              <c:f>Feuil1!$A$4:$B$5</c:f>
              <c:strCache>
                <c:ptCount val="2"/>
                <c:pt idx="0">
                  <c:v>Services exterieurs</c:v>
                </c:pt>
                <c:pt idx="1">
                  <c:v>Services centraux</c:v>
                </c:pt>
              </c:strCache>
            </c:strRef>
          </c:cat>
          <c:val>
            <c:numRef>
              <c:f>Feuil1!$C$4:$C$5</c:f>
              <c:numCache>
                <c:formatCode>General</c:formatCode>
                <c:ptCount val="2"/>
                <c:pt idx="0">
                  <c:v>806</c:v>
                </c:pt>
                <c:pt idx="1">
                  <c:v>388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0781313345165258"/>
          <c:y val="0.31111152553277788"/>
          <c:w val="0.3017852469933795"/>
          <c:h val="0.30496028887506538"/>
        </c:manualLayout>
      </c:layout>
      <c:txPr>
        <a:bodyPr/>
        <a:lstStyle/>
        <a:p>
          <a:pPr rtl="0">
            <a:defRPr/>
          </a:pPr>
          <a:endParaRPr lang="fr-FR"/>
        </a:p>
      </c:txPr>
    </c:legend>
    <c:plotVisOnly val="1"/>
  </c:chart>
  <c:spPr>
    <a:noFill/>
  </c:spPr>
  <c:txPr>
    <a:bodyPr/>
    <a:lstStyle/>
    <a:p>
      <a:pPr>
        <a:defRPr sz="700"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10339707096395059"/>
          <c:y val="0.17543372135776633"/>
          <c:w val="0.4449875084897838"/>
          <c:h val="0.50084153531960762"/>
        </c:manualLayout>
      </c:layout>
      <c:pie3DChart>
        <c:varyColors val="1"/>
        <c:ser>
          <c:idx val="0"/>
          <c:order val="0"/>
          <c:dLbls>
            <c:showVal val="1"/>
            <c:showPercent val="1"/>
            <c:showLeaderLines val="1"/>
          </c:dLbls>
          <c:cat>
            <c:strRef>
              <c:f>Feuil1!$C$1:$C$2</c:f>
              <c:strCache>
                <c:ptCount val="2"/>
                <c:pt idx="0">
                  <c:v>hommes</c:v>
                </c:pt>
                <c:pt idx="1">
                  <c:v>femmes</c:v>
                </c:pt>
              </c:strCache>
            </c:strRef>
          </c:cat>
          <c:val>
            <c:numRef>
              <c:f>Feuil1!$D$1:$D$2</c:f>
              <c:numCache>
                <c:formatCode>General</c:formatCode>
                <c:ptCount val="2"/>
                <c:pt idx="0">
                  <c:v>731</c:v>
                </c:pt>
                <c:pt idx="1">
                  <c:v>463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6720932424507264"/>
          <c:y val="0.2534522390177808"/>
          <c:w val="0.22136912627384087"/>
          <c:h val="0.31954194267852126"/>
        </c:manualLayout>
      </c:layout>
      <c:txPr>
        <a:bodyPr/>
        <a:lstStyle/>
        <a:p>
          <a:pPr rtl="0">
            <a:defRPr sz="800"/>
          </a:pPr>
          <a:endParaRPr lang="fr-FR"/>
        </a:p>
      </c:txPr>
    </c:legend>
    <c:plotVisOnly val="1"/>
  </c:chart>
  <c:spPr>
    <a:noFill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2262358957707732E-2"/>
          <c:y val="0.15584688969716531"/>
          <c:w val="0.52260167221365816"/>
          <c:h val="0.65775983585808984"/>
        </c:manualLayout>
      </c:layout>
      <c:pie3DChart>
        <c:varyColors val="1"/>
        <c:ser>
          <c:idx val="0"/>
          <c:order val="0"/>
          <c:dLbls>
            <c:dLbl>
              <c:idx val="3"/>
              <c:layout>
                <c:manualLayout>
                  <c:x val="-0.10618069258556452"/>
                  <c:y val="0.18517751070589861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-7.6295493087383301E-2"/>
                  <c:y val="0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Feuil1!$A$31:$C$35</c:f>
              <c:strCache>
                <c:ptCount val="5"/>
                <c:pt idx="0">
                  <c:v>Titularisation</c:v>
                </c:pt>
                <c:pt idx="1">
                  <c:v>Intégration</c:v>
                </c:pt>
                <c:pt idx="2">
                  <c:v>Avancement en échelon</c:v>
                </c:pt>
                <c:pt idx="3">
                  <c:v>Promotion en grade</c:v>
                </c:pt>
                <c:pt idx="4">
                  <c:v>Fin de la vie administrative</c:v>
                </c:pt>
              </c:strCache>
            </c:strRef>
          </c:cat>
          <c:val>
            <c:numRef>
              <c:f>Feuil1!$D$31:$D$35</c:f>
              <c:numCache>
                <c:formatCode>General</c:formatCode>
                <c:ptCount val="5"/>
                <c:pt idx="0">
                  <c:v>55</c:v>
                </c:pt>
                <c:pt idx="1">
                  <c:v>150</c:v>
                </c:pt>
                <c:pt idx="2">
                  <c:v>494</c:v>
                </c:pt>
                <c:pt idx="3">
                  <c:v>90</c:v>
                </c:pt>
                <c:pt idx="4">
                  <c:v>29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8718243886447741"/>
          <c:y val="8.5581802274715665E-2"/>
          <c:w val="0.41141584584169288"/>
          <c:h val="0.83858175622783993"/>
        </c:manualLayout>
      </c:layout>
      <c:txPr>
        <a:bodyPr/>
        <a:lstStyle/>
        <a:p>
          <a:pPr rtl="0">
            <a:defRPr sz="900"/>
          </a:pPr>
          <a:endParaRPr lang="fr-FR"/>
        </a:p>
      </c:txPr>
    </c:legend>
    <c:plotVisOnly val="1"/>
  </c:chart>
  <c:spPr>
    <a:noFill/>
    <a:ln w="12700">
      <a:solidFill>
        <a:schemeClr val="accent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view3D>
      <c:rAngAx val="1"/>
    </c:view3D>
    <c:plotArea>
      <c:layout>
        <c:manualLayout>
          <c:layoutTarget val="inner"/>
          <c:xMode val="edge"/>
          <c:yMode val="edge"/>
          <c:x val="9.2014544402324136E-2"/>
          <c:y val="7.9044527785719493E-2"/>
          <c:w val="0.84215241012962161"/>
          <c:h val="0.56932055662853565"/>
        </c:manualLayout>
      </c:layout>
      <c:bar3DChart>
        <c:barDir val="col"/>
        <c:grouping val="clustered"/>
        <c:ser>
          <c:idx val="0"/>
          <c:order val="0"/>
          <c:tx>
            <c:strRef>
              <c:f>Feuil1!$A$3</c:f>
              <c:strCache>
                <c:ptCount val="1"/>
                <c:pt idx="0">
                  <c:v>Nombre de jours</c:v>
                </c:pt>
              </c:strCache>
            </c:strRef>
          </c:tx>
          <c:dLbls>
            <c:showVal val="1"/>
          </c:dLbls>
          <c:cat>
            <c:numRef>
              <c:f>Feuil1!$B$1:$D$1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Feuil1!$B$3:$D$3</c:f>
              <c:numCache>
                <c:formatCode>General</c:formatCode>
                <c:ptCount val="3"/>
                <c:pt idx="0">
                  <c:v>83</c:v>
                </c:pt>
                <c:pt idx="1">
                  <c:v>178</c:v>
                </c:pt>
                <c:pt idx="2">
                  <c:v>92</c:v>
                </c:pt>
              </c:numCache>
            </c:numRef>
          </c:val>
        </c:ser>
        <c:ser>
          <c:idx val="1"/>
          <c:order val="1"/>
          <c:tx>
            <c:strRef>
              <c:f>Feuil1!$A$4</c:f>
              <c:strCache>
                <c:ptCount val="1"/>
                <c:pt idx="0">
                  <c:v>Nombre de bénéficiaires</c:v>
                </c:pt>
              </c:strCache>
            </c:strRef>
          </c:tx>
          <c:dLbls>
            <c:showVal val="1"/>
          </c:dLbls>
          <c:cat>
            <c:numRef>
              <c:f>Feuil1!$B$1:$D$1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Feuil1!$B$4:$D$4</c:f>
              <c:numCache>
                <c:formatCode>General</c:formatCode>
                <c:ptCount val="3"/>
                <c:pt idx="0">
                  <c:v>351</c:v>
                </c:pt>
                <c:pt idx="1">
                  <c:v>765</c:v>
                </c:pt>
                <c:pt idx="2">
                  <c:v>1141</c:v>
                </c:pt>
              </c:numCache>
            </c:numRef>
          </c:val>
        </c:ser>
        <c:shape val="box"/>
        <c:axId val="86439424"/>
        <c:axId val="86440960"/>
        <c:axId val="0"/>
      </c:bar3DChart>
      <c:catAx>
        <c:axId val="86439424"/>
        <c:scaling>
          <c:orientation val="minMax"/>
        </c:scaling>
        <c:axPos val="b"/>
        <c:numFmt formatCode="General" sourceLinked="1"/>
        <c:tickLblPos val="nextTo"/>
        <c:crossAx val="86440960"/>
        <c:crosses val="autoZero"/>
        <c:auto val="1"/>
        <c:lblAlgn val="ctr"/>
        <c:lblOffset val="100"/>
      </c:catAx>
      <c:valAx>
        <c:axId val="86440960"/>
        <c:scaling>
          <c:orientation val="minMax"/>
        </c:scaling>
        <c:axPos val="l"/>
        <c:majorGridlines/>
        <c:numFmt formatCode="General" sourceLinked="1"/>
        <c:tickLblPos val="nextTo"/>
        <c:crossAx val="8643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807117966909425"/>
          <c:y val="0.79619670182736491"/>
          <c:w val="0.63855705371920868"/>
          <c:h val="0.11272875937236818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</c:chart>
  <c:spPr>
    <a:noFill/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E97C8-A692-4940-8B92-81CEE3EF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2484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NAZIH</dc:creator>
  <cp:lastModifiedBy>kamli</cp:lastModifiedBy>
  <cp:revision>4</cp:revision>
  <dcterms:created xsi:type="dcterms:W3CDTF">2013-07-25T11:28:00Z</dcterms:created>
  <dcterms:modified xsi:type="dcterms:W3CDTF">2013-07-25T16:09:00Z</dcterms:modified>
</cp:coreProperties>
</file>